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E20E8" w14:textId="2EA82CAD" w:rsidR="002F711E" w:rsidRDefault="00CB5CDE" w:rsidP="00426678">
      <w:pPr>
        <w:pStyle w:val="Heading1"/>
        <w:rPr>
          <w:rFonts w:ascii="Arial" w:eastAsiaTheme="minorHAnsi" w:hAnsi="Arial" w:cs="Arial"/>
          <w:sz w:val="24"/>
          <w:szCs w:val="24"/>
          <w:lang w:eastAsia="en-US"/>
        </w:rPr>
      </w:pPr>
      <w:bookmarkStart w:id="0" w:name="_Toc33522184"/>
      <w:bookmarkStart w:id="1" w:name="_Toc33522247"/>
      <w:bookmarkStart w:id="2" w:name="_Toc33522265"/>
      <w:r>
        <w:rPr>
          <w:noProof/>
        </w:rPr>
        <w:drawing>
          <wp:anchor distT="0" distB="0" distL="114300" distR="114300" simplePos="0" relativeHeight="251659264" behindDoc="0" locked="0" layoutInCell="1" allowOverlap="1" wp14:anchorId="50DA3B9C" wp14:editId="22ABCB25">
            <wp:simplePos x="0" y="0"/>
            <wp:positionH relativeFrom="page">
              <wp:align>left</wp:align>
            </wp:positionH>
            <wp:positionV relativeFrom="paragraph">
              <wp:posOffset>241</wp:posOffset>
            </wp:positionV>
            <wp:extent cx="7670800" cy="5737225"/>
            <wp:effectExtent l="0" t="0" r="6350" b="0"/>
            <wp:wrapSquare wrapText="bothSides"/>
            <wp:docPr id="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961" t="4626" b="42133"/>
                    <a:stretch>
                      <a:fillRect/>
                    </a:stretch>
                  </pic:blipFill>
                  <pic:spPr bwMode="auto">
                    <a:xfrm>
                      <a:off x="0" y="0"/>
                      <a:ext cx="7670800" cy="573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CDE">
        <w:rPr>
          <w:rFonts w:ascii="Arial" w:eastAsiaTheme="minorHAnsi" w:hAnsi="Arial" w:cs="Arial"/>
          <w:noProof/>
          <w:sz w:val="24"/>
          <w:szCs w:val="24"/>
          <w:lang w:eastAsia="en-US"/>
        </w:rPr>
        <mc:AlternateContent>
          <mc:Choice Requires="wps">
            <w:drawing>
              <wp:anchor distT="45720" distB="45720" distL="114300" distR="114300" simplePos="0" relativeHeight="251689984" behindDoc="0" locked="0" layoutInCell="1" allowOverlap="1" wp14:anchorId="20429114" wp14:editId="753FC23D">
                <wp:simplePos x="0" y="0"/>
                <wp:positionH relativeFrom="margin">
                  <wp:posOffset>-450215</wp:posOffset>
                </wp:positionH>
                <wp:positionV relativeFrom="paragraph">
                  <wp:posOffset>3152775</wp:posOffset>
                </wp:positionV>
                <wp:extent cx="6734175" cy="2952750"/>
                <wp:effectExtent l="0" t="0" r="952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952750"/>
                        </a:xfrm>
                        <a:prstGeom prst="rect">
                          <a:avLst/>
                        </a:prstGeom>
                        <a:solidFill>
                          <a:srgbClr val="FFFFFF"/>
                        </a:solidFill>
                        <a:ln w="9525">
                          <a:noFill/>
                          <a:miter lim="800000"/>
                          <a:headEnd/>
                          <a:tailEnd/>
                        </a:ln>
                      </wps:spPr>
                      <wps:txbx>
                        <w:txbxContent>
                          <w:p w14:paraId="4FD93C04" w14:textId="05776A30" w:rsidR="00CB5CDE" w:rsidRPr="00CB5CDE" w:rsidRDefault="00CB5CDE" w:rsidP="00CB5CDE">
                            <w:pPr>
                              <w:pStyle w:val="Heading1"/>
                              <w:jc w:val="right"/>
                              <w:rPr>
                                <w:rFonts w:ascii="Avenir Next LT Pro" w:hAnsi="Avenir Next LT Pro" w:cstheme="minorHAnsi"/>
                                <w:noProof/>
                                <w:color w:val="auto"/>
                                <w:sz w:val="72"/>
                                <w:szCs w:val="72"/>
                              </w:rPr>
                            </w:pPr>
                            <w:r w:rsidRPr="00CB5CDE">
                              <w:rPr>
                                <w:rFonts w:ascii="Avenir Next LT Pro" w:hAnsi="Avenir Next LT Pro" w:cstheme="minorHAnsi"/>
                                <w:noProof/>
                                <w:color w:val="auto"/>
                                <w:sz w:val="72"/>
                                <w:szCs w:val="72"/>
                              </w:rPr>
                              <w:t>ASD &amp; ADHD Screening Assessment &amp; Diagnosis Rates (Over 5’s)</w:t>
                            </w:r>
                          </w:p>
                          <w:p w14:paraId="20222CB6" w14:textId="2DBEA2C7" w:rsidR="00CB5CDE" w:rsidRPr="00CB5CDE" w:rsidRDefault="00CB5CDE">
                            <w:pPr>
                              <w:rPr>
                                <w:rFonts w:ascii="Avenir Next LT Pro" w:hAnsi="Avenir Next LT Pro"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29114" id="_x0000_t202" coordsize="21600,21600" o:spt="202" path="m,l,21600r21600,l21600,xe">
                <v:stroke joinstyle="miter"/>
                <v:path gradientshapeok="t" o:connecttype="rect"/>
              </v:shapetype>
              <v:shape id="Text Box 2" o:spid="_x0000_s1026" type="#_x0000_t202" alt="&quot;&quot;" style="position:absolute;margin-left:-35.45pt;margin-top:248.25pt;width:530.25pt;height:23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" stroked="f">
                <v:textbox>
                  <w:txbxContent>
                    <w:p w14:paraId="4FD93C04" w14:textId="05776A30" w:rsidR="00CB5CDE" w:rsidRPr="00CB5CDE" w:rsidRDefault="00CB5CDE" w:rsidP="00CB5CDE">
                      <w:pPr>
                        <w:pStyle w:val="Heading1"/>
                        <w:jc w:val="right"/>
                        <w:rPr>
                          <w:rFonts w:ascii="Avenir Next LT Pro" w:hAnsi="Avenir Next LT Pro" w:cstheme="minorHAnsi"/>
                          <w:noProof/>
                          <w:color w:val="auto"/>
                          <w:sz w:val="72"/>
                          <w:szCs w:val="72"/>
                        </w:rPr>
                      </w:pPr>
                      <w:r w:rsidRPr="00CB5CDE">
                        <w:rPr>
                          <w:rFonts w:ascii="Avenir Next LT Pro" w:hAnsi="Avenir Next LT Pro" w:cstheme="minorHAnsi"/>
                          <w:noProof/>
                          <w:color w:val="auto"/>
                          <w:sz w:val="72"/>
                          <w:szCs w:val="72"/>
                        </w:rPr>
                        <w:t>ASD &amp; ADHD Screening Assessment &amp; Diagnosis Rates (Over 5’s)</w:t>
                      </w:r>
                    </w:p>
                    <w:p w14:paraId="20222CB6" w14:textId="2DBEA2C7" w:rsidR="00CB5CDE" w:rsidRPr="00CB5CDE" w:rsidRDefault="00CB5CDE">
                      <w:pPr>
                        <w:rPr>
                          <w:rFonts w:ascii="Avenir Next LT Pro" w:hAnsi="Avenir Next LT Pro" w:cstheme="minorHAnsi"/>
                          <w:b/>
                          <w:bCs/>
                        </w:rPr>
                      </w:pPr>
                    </w:p>
                  </w:txbxContent>
                </v:textbox>
                <w10:wrap type="square" anchorx="margin"/>
              </v:shape>
            </w:pict>
          </mc:Fallback>
        </mc:AlternateContent>
      </w:r>
      <w:r w:rsidR="00DC0CC1">
        <w:rPr>
          <w:rFonts w:ascii="Arial" w:hAnsi="Arial" w:cs="Arial"/>
          <w:b w:val="0"/>
          <w:noProof/>
        </w:rPr>
        <mc:AlternateContent>
          <mc:Choice Requires="wps">
            <w:drawing>
              <wp:anchor distT="0" distB="0" distL="114300" distR="114300" simplePos="0" relativeHeight="251687936" behindDoc="0" locked="0" layoutInCell="1" allowOverlap="1" wp14:anchorId="3EDD9077" wp14:editId="50272835">
                <wp:simplePos x="0" y="0"/>
                <wp:positionH relativeFrom="column">
                  <wp:posOffset>4914900</wp:posOffset>
                </wp:positionH>
                <wp:positionV relativeFrom="paragraph">
                  <wp:posOffset>-914400</wp:posOffset>
                </wp:positionV>
                <wp:extent cx="1676400" cy="1485900"/>
                <wp:effectExtent l="0" t="0" r="1905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6400" cy="148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40726" id="Rectangle 9" o:spid="_x0000_s1026" alt="&quot;&quot;" style="position:absolute;margin-left:387pt;margin-top:-1in;width:132pt;height:11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" fillcolor="white [3212]" strokecolor="white [3212]" strokeweight="2pt"/>
            </w:pict>
          </mc:Fallback>
        </mc:AlternateContent>
      </w:r>
      <w:r w:rsidR="000B7ECB">
        <w:rPr>
          <w:noProof/>
        </w:rPr>
        <w:drawing>
          <wp:anchor distT="0" distB="0" distL="114300" distR="114300" simplePos="0" relativeHeight="251661312" behindDoc="0" locked="0" layoutInCell="1" allowOverlap="1" wp14:anchorId="763CF337" wp14:editId="49F0B216">
            <wp:simplePos x="0" y="0"/>
            <wp:positionH relativeFrom="column">
              <wp:posOffset>-965200</wp:posOffset>
            </wp:positionH>
            <wp:positionV relativeFrom="paragraph">
              <wp:posOffset>6442075</wp:posOffset>
            </wp:positionV>
            <wp:extent cx="7918450" cy="4064000"/>
            <wp:effectExtent l="0" t="0" r="6350" b="0"/>
            <wp:wrapSquare wrapText="bothSides"/>
            <wp:docPr id="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58655" b="5125"/>
                    <a:stretch>
                      <a:fillRect/>
                    </a:stretch>
                  </pic:blipFill>
                  <pic:spPr bwMode="auto">
                    <a:xfrm>
                      <a:off x="0" y="0"/>
                      <a:ext cx="7918450" cy="406400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p>
    <w:p w14:paraId="4BE708B1" w14:textId="77777777" w:rsidR="0095462E" w:rsidRDefault="0095462E" w:rsidP="00A64BC5">
      <w:pPr>
        <w:pStyle w:val="Heading1"/>
        <w:rPr>
          <w:rFonts w:ascii="Avenir Next LT Pro" w:eastAsiaTheme="minorHAnsi" w:hAnsi="Avenir Next LT Pro" w:cs="Arial"/>
          <w:lang w:eastAsia="en-US"/>
        </w:rPr>
      </w:pPr>
    </w:p>
    <w:p w14:paraId="7157E579" w14:textId="27A52F4A" w:rsidR="0095462E" w:rsidRDefault="0095462E" w:rsidP="00A64BC5">
      <w:pPr>
        <w:pStyle w:val="Heading1"/>
        <w:rPr>
          <w:rFonts w:ascii="Avenir Next LT Pro" w:eastAsiaTheme="minorHAnsi" w:hAnsi="Avenir Next LT Pro" w:cs="Arial"/>
          <w:lang w:eastAsia="en-US"/>
        </w:rPr>
      </w:pPr>
    </w:p>
    <w:p w14:paraId="071403BA" w14:textId="77777777" w:rsidR="0095462E" w:rsidRPr="0095462E" w:rsidRDefault="0095462E" w:rsidP="0095462E">
      <w:pPr>
        <w:rPr>
          <w:rFonts w:eastAsiaTheme="minorHAnsi"/>
          <w:lang w:eastAsia="en-US"/>
        </w:rPr>
      </w:pPr>
    </w:p>
    <w:p w14:paraId="494574E1" w14:textId="7945443E" w:rsidR="00A64BC5" w:rsidRDefault="00A64BC5" w:rsidP="00A64BC5">
      <w:pPr>
        <w:pStyle w:val="Heading1"/>
        <w:rPr>
          <w:rFonts w:ascii="Avenir Next LT Pro" w:eastAsiaTheme="minorHAnsi" w:hAnsi="Avenir Next LT Pro" w:cs="Arial"/>
          <w:lang w:eastAsia="en-US"/>
        </w:rPr>
      </w:pPr>
      <w:r>
        <w:rPr>
          <w:rFonts w:ascii="Avenir Next LT Pro" w:eastAsiaTheme="minorHAnsi" w:hAnsi="Avenir Next LT Pro" w:cs="Arial"/>
          <w:lang w:eastAsia="en-US"/>
        </w:rPr>
        <w:t>Introduction</w:t>
      </w:r>
    </w:p>
    <w:p w14:paraId="04E548E2" w14:textId="6B29BCCC" w:rsidR="00A64BC5" w:rsidRDefault="00A64BC5" w:rsidP="00A64BC5">
      <w:pPr>
        <w:rPr>
          <w:rFonts w:eastAsiaTheme="minorHAnsi"/>
          <w:lang w:eastAsia="en-US"/>
        </w:rPr>
      </w:pPr>
    </w:p>
    <w:p w14:paraId="023C9646" w14:textId="4D9D02C1" w:rsidR="00A64BC5" w:rsidRDefault="00A64BC5" w:rsidP="00A64BC5">
      <w:pPr>
        <w:rPr>
          <w:rFonts w:ascii="Avenir Next LT Pro" w:hAnsi="Avenir Next LT Pro"/>
        </w:rPr>
      </w:pPr>
      <w:r w:rsidRPr="00CB5CDE">
        <w:rPr>
          <w:rFonts w:ascii="Avenir Next LT Pro" w:hAnsi="Avenir Next LT Pro"/>
        </w:rPr>
        <w:t>Th</w:t>
      </w:r>
      <w:r w:rsidR="001D0A3B">
        <w:rPr>
          <w:rFonts w:ascii="Avenir Next LT Pro" w:hAnsi="Avenir Next LT Pro"/>
        </w:rPr>
        <w:t>e data included in this document regarding ASD and ADHD assessments and diagnoses comes from data reported as part of the Young Minds Matter contract. Locally, Young Minds Matter undertake assessments for both ASD and ADHD</w:t>
      </w:r>
      <w:r w:rsidR="00AF65F6">
        <w:rPr>
          <w:rFonts w:ascii="Avenir Next LT Pro" w:hAnsi="Avenir Next LT Pro"/>
        </w:rPr>
        <w:t xml:space="preserve"> following an onward referral from the Access Pathway or ASD Screening Clinic.</w:t>
      </w:r>
    </w:p>
    <w:p w14:paraId="1B7F90E3" w14:textId="07E62817" w:rsidR="00AF65F6" w:rsidRDefault="00AF65F6" w:rsidP="00A64BC5">
      <w:pPr>
        <w:rPr>
          <w:rFonts w:ascii="Avenir Next LT Pro" w:hAnsi="Avenir Next LT Pro"/>
        </w:rPr>
      </w:pPr>
    </w:p>
    <w:p w14:paraId="239CA2BE" w14:textId="540B42F9" w:rsidR="00AF65F6" w:rsidRDefault="00AF65F6" w:rsidP="00A64BC5">
      <w:pPr>
        <w:rPr>
          <w:rFonts w:ascii="Avenir Next LT Pro" w:hAnsi="Avenir Next LT Pro"/>
          <w:color w:val="365F91" w:themeColor="accent1" w:themeShade="BF"/>
        </w:rPr>
      </w:pPr>
      <w:r>
        <w:rPr>
          <w:rFonts w:ascii="Avenir Next LT Pro" w:hAnsi="Avenir Next LT Pro"/>
        </w:rPr>
        <w:t xml:space="preserve">For more information on the </w:t>
      </w:r>
      <w:r w:rsidR="0095462E">
        <w:rPr>
          <w:rFonts w:ascii="Avenir Next LT Pro" w:hAnsi="Avenir Next LT Pro"/>
        </w:rPr>
        <w:t xml:space="preserve">Access Pathway please visit the </w:t>
      </w:r>
      <w:hyperlink r:id="rId9" w:history="1">
        <w:r w:rsidR="0095462E" w:rsidRPr="0095462E">
          <w:rPr>
            <w:rStyle w:val="Hyperlink"/>
            <w:rFonts w:ascii="Avenir Next LT Pro" w:hAnsi="Avenir Next LT Pro"/>
            <w:color w:val="365F91" w:themeColor="accent1" w:themeShade="BF"/>
          </w:rPr>
          <w:t>SEND Local Offer webpage</w:t>
        </w:r>
      </w:hyperlink>
      <w:r w:rsidR="0095462E" w:rsidRPr="0095462E">
        <w:rPr>
          <w:rFonts w:ascii="Avenir Next LT Pro" w:hAnsi="Avenir Next LT Pro"/>
          <w:color w:val="365F91" w:themeColor="accent1" w:themeShade="BF"/>
        </w:rPr>
        <w:t>.</w:t>
      </w:r>
    </w:p>
    <w:p w14:paraId="700BA17E" w14:textId="2978C13B" w:rsidR="0095462E" w:rsidRDefault="0095462E" w:rsidP="00A64BC5">
      <w:pPr>
        <w:rPr>
          <w:rFonts w:ascii="Avenir Next LT Pro" w:hAnsi="Avenir Next LT Pro"/>
          <w:color w:val="365F91" w:themeColor="accent1" w:themeShade="BF"/>
        </w:rPr>
      </w:pPr>
    </w:p>
    <w:p w14:paraId="1899C7AF" w14:textId="77777777" w:rsidR="0095462E" w:rsidRDefault="0095462E" w:rsidP="00A64BC5">
      <w:pPr>
        <w:rPr>
          <w:rFonts w:ascii="Avenir Next LT Pro" w:hAnsi="Avenir Next LT Pro"/>
          <w:color w:val="365F91" w:themeColor="accent1" w:themeShade="BF"/>
        </w:rPr>
      </w:pPr>
    </w:p>
    <w:p w14:paraId="7E30995F" w14:textId="63C6C477" w:rsidR="0095462E" w:rsidRPr="00CB5CDE" w:rsidRDefault="0095462E" w:rsidP="0095462E">
      <w:pPr>
        <w:rPr>
          <w:rFonts w:ascii="Avenir Next LT Pro" w:hAnsi="Avenir Next LT Pro"/>
        </w:rPr>
      </w:pPr>
      <w:r>
        <w:rPr>
          <w:rFonts w:ascii="Avenir Next LT Pro" w:hAnsi="Avenir Next LT Pro"/>
        </w:rPr>
        <w:t xml:space="preserve">The following data regarding ASD and ADHD assessments and referrals is presented quarterly based on financial years (April – March). </w:t>
      </w:r>
      <w:r w:rsidRPr="00CB5CDE">
        <w:rPr>
          <w:rFonts w:ascii="Avenir Next LT Pro" w:hAnsi="Avenir Next LT Pro"/>
        </w:rPr>
        <w:t>Please note</w:t>
      </w:r>
      <w:r>
        <w:rPr>
          <w:rFonts w:ascii="Avenir Next LT Pro" w:hAnsi="Avenir Next LT Pro"/>
        </w:rPr>
        <w:t>,</w:t>
      </w:r>
      <w:r w:rsidRPr="00CB5CDE">
        <w:rPr>
          <w:rFonts w:ascii="Avenir Next LT Pro" w:hAnsi="Avenir Next LT Pro"/>
        </w:rPr>
        <w:t xml:space="preserve"> data is always 1 quarter (3 months) behind</w:t>
      </w:r>
      <w:r>
        <w:rPr>
          <w:rFonts w:ascii="Avenir Next LT Pro" w:hAnsi="Avenir Next LT Pro"/>
        </w:rPr>
        <w:t>, this is</w:t>
      </w:r>
      <w:r w:rsidRPr="00CB5CDE">
        <w:rPr>
          <w:rFonts w:ascii="Avenir Next LT Pro" w:hAnsi="Avenir Next LT Pro"/>
        </w:rPr>
        <w:t xml:space="preserve"> due to reporting and contracting arrangements. </w:t>
      </w:r>
      <w:r w:rsidR="00630E25">
        <w:rPr>
          <w:rFonts w:ascii="Avenir Next LT Pro" w:hAnsi="Avenir Next LT Pro"/>
        </w:rPr>
        <w:t xml:space="preserve">Additionally, </w:t>
      </w:r>
      <w:r w:rsidR="00630E25" w:rsidRPr="00630E25">
        <w:rPr>
          <w:rFonts w:ascii="Avenir Next LT Pro" w:hAnsi="Avenir Next LT Pro"/>
        </w:rPr>
        <w:t>specialist assessments take time, therefore figures assessed will not align with figures referred per quarter</w:t>
      </w:r>
      <w:r w:rsidR="00630E25">
        <w:rPr>
          <w:rFonts w:ascii="Avenir Next LT Pro" w:hAnsi="Avenir Next LT Pro"/>
        </w:rPr>
        <w:t>.</w:t>
      </w:r>
    </w:p>
    <w:p w14:paraId="5C23517C" w14:textId="0ADC4286" w:rsidR="0095462E" w:rsidRDefault="0095462E" w:rsidP="00A64BC5">
      <w:pPr>
        <w:rPr>
          <w:rFonts w:eastAsiaTheme="minorHAnsi"/>
          <w:lang w:eastAsia="en-US"/>
        </w:rPr>
      </w:pPr>
    </w:p>
    <w:p w14:paraId="3EF0C800" w14:textId="3635801E" w:rsidR="0095462E" w:rsidRDefault="0095462E" w:rsidP="00A64BC5">
      <w:pPr>
        <w:rPr>
          <w:rFonts w:eastAsiaTheme="minorHAnsi"/>
          <w:lang w:eastAsia="en-US"/>
        </w:rPr>
      </w:pPr>
    </w:p>
    <w:p w14:paraId="3D80C9C1" w14:textId="10C8B633" w:rsidR="0095462E" w:rsidRDefault="0095462E" w:rsidP="00A64BC5">
      <w:pPr>
        <w:rPr>
          <w:rFonts w:eastAsiaTheme="minorHAnsi"/>
          <w:lang w:eastAsia="en-US"/>
        </w:rPr>
      </w:pPr>
    </w:p>
    <w:p w14:paraId="7F028822" w14:textId="1F2D76BE" w:rsidR="0095462E" w:rsidRDefault="0095462E" w:rsidP="00A64BC5">
      <w:pPr>
        <w:rPr>
          <w:rFonts w:eastAsiaTheme="minorHAnsi"/>
          <w:lang w:eastAsia="en-US"/>
        </w:rPr>
      </w:pPr>
    </w:p>
    <w:p w14:paraId="2E310A33" w14:textId="25DFA1E1" w:rsidR="0095462E" w:rsidRDefault="0095462E" w:rsidP="00A64BC5">
      <w:pPr>
        <w:rPr>
          <w:rFonts w:eastAsiaTheme="minorHAnsi"/>
          <w:lang w:eastAsia="en-US"/>
        </w:rPr>
      </w:pPr>
    </w:p>
    <w:p w14:paraId="0F520E22" w14:textId="59F4D636" w:rsidR="0095462E" w:rsidRDefault="0095462E" w:rsidP="00A64BC5">
      <w:pPr>
        <w:rPr>
          <w:rFonts w:eastAsiaTheme="minorHAnsi"/>
          <w:lang w:eastAsia="en-US"/>
        </w:rPr>
      </w:pPr>
    </w:p>
    <w:p w14:paraId="20CAC7BC" w14:textId="1E5D4347" w:rsidR="0095462E" w:rsidRDefault="0095462E" w:rsidP="00A64BC5">
      <w:pPr>
        <w:rPr>
          <w:rFonts w:eastAsiaTheme="minorHAnsi"/>
          <w:lang w:eastAsia="en-US"/>
        </w:rPr>
      </w:pPr>
    </w:p>
    <w:p w14:paraId="7AEAB54F" w14:textId="193A9296" w:rsidR="0095462E" w:rsidRDefault="0095462E" w:rsidP="00A64BC5">
      <w:pPr>
        <w:rPr>
          <w:rFonts w:eastAsiaTheme="minorHAnsi"/>
          <w:lang w:eastAsia="en-US"/>
        </w:rPr>
      </w:pPr>
    </w:p>
    <w:p w14:paraId="771633C5" w14:textId="29CCFE02" w:rsidR="0095462E" w:rsidRDefault="0095462E" w:rsidP="00A64BC5">
      <w:pPr>
        <w:rPr>
          <w:rFonts w:eastAsiaTheme="minorHAnsi"/>
          <w:lang w:eastAsia="en-US"/>
        </w:rPr>
      </w:pPr>
    </w:p>
    <w:p w14:paraId="38396CDE" w14:textId="0E1247D5" w:rsidR="0095462E" w:rsidRDefault="0095462E" w:rsidP="00A64BC5">
      <w:pPr>
        <w:rPr>
          <w:rFonts w:eastAsiaTheme="minorHAnsi"/>
          <w:lang w:eastAsia="en-US"/>
        </w:rPr>
      </w:pPr>
    </w:p>
    <w:p w14:paraId="6E5A7F48" w14:textId="20D1E33F" w:rsidR="0095462E" w:rsidRDefault="0095462E" w:rsidP="00A64BC5">
      <w:pPr>
        <w:rPr>
          <w:rFonts w:eastAsiaTheme="minorHAnsi"/>
          <w:lang w:eastAsia="en-US"/>
        </w:rPr>
      </w:pPr>
    </w:p>
    <w:p w14:paraId="2F07A58E" w14:textId="5366FEDE" w:rsidR="0095462E" w:rsidRDefault="0095462E" w:rsidP="00A64BC5">
      <w:pPr>
        <w:rPr>
          <w:rFonts w:eastAsiaTheme="minorHAnsi"/>
          <w:lang w:eastAsia="en-US"/>
        </w:rPr>
      </w:pPr>
    </w:p>
    <w:p w14:paraId="314C7306" w14:textId="5CE587FE" w:rsidR="0095462E" w:rsidRDefault="0095462E" w:rsidP="00A64BC5">
      <w:pPr>
        <w:rPr>
          <w:rFonts w:eastAsiaTheme="minorHAnsi"/>
          <w:lang w:eastAsia="en-US"/>
        </w:rPr>
      </w:pPr>
    </w:p>
    <w:p w14:paraId="6C9EFACE" w14:textId="2A08A161" w:rsidR="0095462E" w:rsidRDefault="0095462E" w:rsidP="00A64BC5">
      <w:pPr>
        <w:rPr>
          <w:rFonts w:eastAsiaTheme="minorHAnsi"/>
          <w:lang w:eastAsia="en-US"/>
        </w:rPr>
      </w:pPr>
    </w:p>
    <w:p w14:paraId="2823D97C" w14:textId="025B3C52" w:rsidR="0095462E" w:rsidRDefault="0095462E" w:rsidP="00A64BC5">
      <w:pPr>
        <w:rPr>
          <w:rFonts w:eastAsiaTheme="minorHAnsi"/>
          <w:lang w:eastAsia="en-US"/>
        </w:rPr>
      </w:pPr>
    </w:p>
    <w:p w14:paraId="0125DA34" w14:textId="2430AA27" w:rsidR="0095462E" w:rsidRDefault="0095462E" w:rsidP="00A64BC5">
      <w:pPr>
        <w:rPr>
          <w:rFonts w:eastAsiaTheme="minorHAnsi"/>
          <w:lang w:eastAsia="en-US"/>
        </w:rPr>
      </w:pPr>
    </w:p>
    <w:p w14:paraId="79FC598C" w14:textId="6104568B" w:rsidR="0095462E" w:rsidRDefault="0095462E" w:rsidP="00A64BC5">
      <w:pPr>
        <w:rPr>
          <w:rFonts w:eastAsiaTheme="minorHAnsi"/>
          <w:lang w:eastAsia="en-US"/>
        </w:rPr>
      </w:pPr>
    </w:p>
    <w:p w14:paraId="7E78EC55" w14:textId="77777777" w:rsidR="0095462E" w:rsidRDefault="0095462E" w:rsidP="00A64BC5">
      <w:pPr>
        <w:rPr>
          <w:rFonts w:eastAsiaTheme="minorHAnsi"/>
          <w:lang w:eastAsia="en-US"/>
        </w:rPr>
      </w:pPr>
    </w:p>
    <w:p w14:paraId="6B7CA3CF" w14:textId="77777777" w:rsidR="0095462E" w:rsidRPr="00A64BC5" w:rsidRDefault="0095462E" w:rsidP="00A64BC5">
      <w:pPr>
        <w:rPr>
          <w:rFonts w:eastAsiaTheme="minorHAnsi"/>
          <w:lang w:eastAsia="en-US"/>
        </w:rPr>
      </w:pPr>
    </w:p>
    <w:p w14:paraId="1E702CF0" w14:textId="296E6317" w:rsidR="00663E4B" w:rsidRDefault="001D0A3B" w:rsidP="00CB5CDE">
      <w:pPr>
        <w:pStyle w:val="Heading1"/>
        <w:rPr>
          <w:rFonts w:ascii="Avenir Next LT Pro" w:eastAsiaTheme="minorHAnsi" w:hAnsi="Avenir Next LT Pro" w:cs="Arial"/>
          <w:lang w:eastAsia="en-US"/>
        </w:rPr>
      </w:pPr>
      <w:r>
        <w:rPr>
          <w:rFonts w:ascii="Avenir Next LT Pro" w:eastAsiaTheme="minorHAnsi" w:hAnsi="Avenir Next LT Pro" w:cs="Arial"/>
          <w:lang w:eastAsia="en-US"/>
        </w:rPr>
        <w:lastRenderedPageBreak/>
        <w:t>ASD</w:t>
      </w:r>
      <w:r w:rsidR="00CB5CDE" w:rsidRPr="00CB5CDE">
        <w:rPr>
          <w:rFonts w:ascii="Avenir Next LT Pro" w:eastAsiaTheme="minorHAnsi" w:hAnsi="Avenir Next LT Pro" w:cs="Arial"/>
          <w:lang w:eastAsia="en-US"/>
        </w:rPr>
        <w:t xml:space="preserve"> scree</w:t>
      </w:r>
      <w:r w:rsidR="00CB5CDE" w:rsidRPr="0095462E">
        <w:rPr>
          <w:rFonts w:ascii="Avenir Next LT Pro" w:eastAsiaTheme="minorHAnsi" w:hAnsi="Avenir Next LT Pro" w:cs="Arial"/>
          <w:lang w:eastAsia="en-US"/>
        </w:rPr>
        <w:t>ni</w:t>
      </w:r>
      <w:r w:rsidR="00CB5CDE" w:rsidRPr="00CB5CDE">
        <w:rPr>
          <w:rFonts w:ascii="Avenir Next LT Pro" w:eastAsiaTheme="minorHAnsi" w:hAnsi="Avenir Next LT Pro" w:cs="Arial"/>
          <w:lang w:eastAsia="en-US"/>
        </w:rPr>
        <w:t xml:space="preserve">ng, assessment and diagnostic pathway for the </w:t>
      </w:r>
      <w:r w:rsidR="00CB5CDE">
        <w:rPr>
          <w:rFonts w:ascii="Avenir Next LT Pro" w:eastAsiaTheme="minorHAnsi" w:hAnsi="Avenir Next LT Pro" w:cs="Arial"/>
          <w:lang w:eastAsia="en-US"/>
        </w:rPr>
        <w:t>o</w:t>
      </w:r>
      <w:r w:rsidR="00CB5CDE" w:rsidRPr="00CB5CDE">
        <w:rPr>
          <w:rFonts w:ascii="Avenir Next LT Pro" w:eastAsiaTheme="minorHAnsi" w:hAnsi="Avenir Next LT Pro" w:cs="Arial"/>
          <w:lang w:eastAsia="en-US"/>
        </w:rPr>
        <w:t>ver 5s</w:t>
      </w:r>
    </w:p>
    <w:p w14:paraId="457DB98B" w14:textId="77777777" w:rsidR="00CB5CDE" w:rsidRPr="00CB5CDE" w:rsidRDefault="00CB5CDE" w:rsidP="00CB5CDE">
      <w:pPr>
        <w:rPr>
          <w:rFonts w:eastAsiaTheme="minorHAnsi"/>
          <w:lang w:eastAsia="en-US"/>
        </w:rPr>
      </w:pPr>
    </w:p>
    <w:p w14:paraId="5078A504" w14:textId="573B1B49" w:rsidR="00663E4B" w:rsidRDefault="00CB5CDE" w:rsidP="00B63E0B">
      <w:pPr>
        <w:rPr>
          <w:rFonts w:ascii="Avenir Next LT Pro" w:hAnsi="Avenir Next LT Pro"/>
        </w:rPr>
      </w:pPr>
      <w:r w:rsidRPr="00CB5CDE">
        <w:rPr>
          <w:rFonts w:ascii="Avenir Next LT Pro" w:hAnsi="Avenir Next LT Pro"/>
        </w:rPr>
        <w:t xml:space="preserve">This data shows the total number of children and young people (5-18) who have accessed the </w:t>
      </w:r>
      <w:r w:rsidR="001D0A3B">
        <w:rPr>
          <w:rFonts w:ascii="Avenir Next LT Pro" w:hAnsi="Avenir Next LT Pro"/>
        </w:rPr>
        <w:t>ASD</w:t>
      </w:r>
      <w:r w:rsidRPr="00CB5CDE">
        <w:rPr>
          <w:rFonts w:ascii="Avenir Next LT Pro" w:hAnsi="Avenir Next LT Pro"/>
        </w:rPr>
        <w:t xml:space="preserve"> screening, assessment and diagnostic pathway in North East Lincolnshire. </w:t>
      </w:r>
    </w:p>
    <w:p w14:paraId="11929F0E" w14:textId="40ECA644" w:rsidR="008F4805" w:rsidRDefault="008F4805" w:rsidP="00B63E0B">
      <w:pPr>
        <w:rPr>
          <w:rFonts w:ascii="Avenir Next LT Pro" w:hAnsi="Avenir Next LT Pro"/>
        </w:rPr>
      </w:pPr>
    </w:p>
    <w:p w14:paraId="64ECD234" w14:textId="1240A3DA" w:rsidR="00B80915" w:rsidRDefault="00B80915" w:rsidP="00B63E0B">
      <w:pPr>
        <w:rPr>
          <w:rFonts w:ascii="Avenir Next LT Pro" w:hAnsi="Avenir Next LT Pro"/>
        </w:rPr>
      </w:pPr>
      <w:r>
        <w:rPr>
          <w:rFonts w:ascii="Avenir Next LT Pro" w:hAnsi="Avenir Next LT Pro"/>
          <w:noProof/>
        </w:rPr>
        <w:drawing>
          <wp:inline distT="0" distB="0" distL="0" distR="0" wp14:anchorId="48303D21" wp14:editId="4FE2AF0B">
            <wp:extent cx="5466131" cy="4175445"/>
            <wp:effectExtent l="19050" t="19050" r="20320" b="15875"/>
            <wp:docPr id="1" name="Picture 1" descr="Autism screening &amp; assessment for over 5s chart - chart data is presented in 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tism screening &amp; assessment for over 5s chart - chart data is presented in a table be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829" cy="4179797"/>
                    </a:xfrm>
                    <a:prstGeom prst="rect">
                      <a:avLst/>
                    </a:prstGeom>
                    <a:noFill/>
                    <a:ln>
                      <a:solidFill>
                        <a:schemeClr val="accent1"/>
                      </a:solidFill>
                    </a:ln>
                  </pic:spPr>
                </pic:pic>
              </a:graphicData>
            </a:graphic>
          </wp:inline>
        </w:drawing>
      </w:r>
    </w:p>
    <w:p w14:paraId="39A992DD" w14:textId="74396354" w:rsidR="00CB5CDE" w:rsidRPr="00A64BC5" w:rsidRDefault="00CB5CDE" w:rsidP="00CB5CDE">
      <w:pPr>
        <w:pStyle w:val="Heading3"/>
        <w:spacing w:before="480"/>
        <w:rPr>
          <w:rFonts w:ascii="Avenir Next LT Pro" w:eastAsiaTheme="minorHAnsi" w:hAnsi="Avenir Next LT Pro" w:cs="Arial"/>
          <w:b/>
          <w:bCs/>
          <w:color w:val="365F91" w:themeColor="accent1" w:themeShade="BF"/>
          <w:lang w:eastAsia="en-US"/>
        </w:rPr>
      </w:pPr>
      <w:r w:rsidRPr="00A64BC5">
        <w:rPr>
          <w:rFonts w:ascii="Avenir Next LT Pro" w:eastAsiaTheme="minorHAnsi" w:hAnsi="Avenir Next LT Pro" w:cs="Arial"/>
          <w:b/>
          <w:bCs/>
          <w:color w:val="365F91" w:themeColor="accent1" w:themeShade="BF"/>
          <w:lang w:eastAsia="en-US"/>
        </w:rPr>
        <w:t>Figures for the full year 2017/18, 2018/19,</w:t>
      </w:r>
      <w:r w:rsidR="00B63E0B">
        <w:rPr>
          <w:rFonts w:ascii="Avenir Next LT Pro" w:eastAsiaTheme="minorHAnsi" w:hAnsi="Avenir Next LT Pro" w:cs="Arial"/>
          <w:b/>
          <w:bCs/>
          <w:color w:val="365F91" w:themeColor="accent1" w:themeShade="BF"/>
          <w:lang w:eastAsia="en-US"/>
        </w:rPr>
        <w:t xml:space="preserve"> 2019/20,</w:t>
      </w:r>
      <w:r w:rsidRPr="00A64BC5">
        <w:rPr>
          <w:rFonts w:ascii="Avenir Next LT Pro" w:eastAsiaTheme="minorHAnsi" w:hAnsi="Avenir Next LT Pro" w:cs="Arial"/>
          <w:b/>
          <w:bCs/>
          <w:color w:val="365F91" w:themeColor="accent1" w:themeShade="BF"/>
          <w:lang w:eastAsia="en-US"/>
        </w:rPr>
        <w:t xml:space="preserve"> 2020/21</w:t>
      </w:r>
      <w:r w:rsidR="00B80915">
        <w:rPr>
          <w:rFonts w:ascii="Avenir Next LT Pro" w:eastAsiaTheme="minorHAnsi" w:hAnsi="Avenir Next LT Pro" w:cs="Arial"/>
          <w:b/>
          <w:bCs/>
          <w:color w:val="365F91" w:themeColor="accent1" w:themeShade="BF"/>
          <w:lang w:eastAsia="en-US"/>
        </w:rPr>
        <w:t>,</w:t>
      </w:r>
      <w:r w:rsidRPr="00A64BC5">
        <w:rPr>
          <w:rFonts w:ascii="Avenir Next LT Pro" w:eastAsiaTheme="minorHAnsi" w:hAnsi="Avenir Next LT Pro" w:cs="Arial"/>
          <w:b/>
          <w:bCs/>
          <w:color w:val="365F91" w:themeColor="accent1" w:themeShade="BF"/>
          <w:lang w:eastAsia="en-US"/>
        </w:rPr>
        <w:t xml:space="preserve"> 2021/22</w:t>
      </w:r>
      <w:r w:rsidR="00B80915">
        <w:rPr>
          <w:rFonts w:ascii="Avenir Next LT Pro" w:eastAsiaTheme="minorHAnsi" w:hAnsi="Avenir Next LT Pro" w:cs="Arial"/>
          <w:b/>
          <w:bCs/>
          <w:color w:val="365F91" w:themeColor="accent1" w:themeShade="BF"/>
          <w:lang w:eastAsia="en-US"/>
        </w:rPr>
        <w:t xml:space="preserve"> &amp;</w:t>
      </w:r>
      <w:r w:rsidRPr="00A64BC5">
        <w:rPr>
          <w:rFonts w:ascii="Avenir Next LT Pro" w:eastAsiaTheme="minorHAnsi" w:hAnsi="Avenir Next LT Pro" w:cs="Arial"/>
          <w:b/>
          <w:bCs/>
          <w:color w:val="365F91" w:themeColor="accent1" w:themeShade="BF"/>
          <w:lang w:eastAsia="en-US"/>
        </w:rPr>
        <w:t xml:space="preserve"> 2022/23</w:t>
      </w:r>
    </w:p>
    <w:tbl>
      <w:tblPr>
        <w:tblStyle w:val="TableGridLight"/>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73"/>
        <w:gridCol w:w="2229"/>
        <w:gridCol w:w="2410"/>
        <w:gridCol w:w="2126"/>
      </w:tblGrid>
      <w:tr w:rsidR="00B63E0B" w:rsidRPr="00CB5CDE" w14:paraId="2C55B17D" w14:textId="77777777" w:rsidTr="00B63E0B">
        <w:trPr>
          <w:trHeight w:val="99"/>
        </w:trPr>
        <w:tc>
          <w:tcPr>
            <w:tcW w:w="1413" w:type="dxa"/>
            <w:noWrap/>
            <w:hideMark/>
          </w:tcPr>
          <w:p w14:paraId="39F7E3BB" w14:textId="77777777" w:rsidR="00B63E0B" w:rsidRPr="00CB5CDE" w:rsidRDefault="00B63E0B" w:rsidP="00AE6561">
            <w:pPr>
              <w:rPr>
                <w:rFonts w:ascii="Avenir Next LT Pro" w:hAnsi="Avenir Next LT Pro" w:cs="Calibri"/>
                <w:b/>
                <w:bCs/>
                <w:color w:val="000000"/>
                <w:sz w:val="22"/>
                <w:szCs w:val="22"/>
              </w:rPr>
            </w:pPr>
            <w:r w:rsidRPr="00CB5CDE">
              <w:rPr>
                <w:rFonts w:ascii="Avenir Next LT Pro" w:hAnsi="Avenir Next LT Pro" w:cs="Calibri"/>
                <w:b/>
                <w:bCs/>
                <w:color w:val="000000"/>
                <w:sz w:val="22"/>
                <w:szCs w:val="22"/>
              </w:rPr>
              <w:t>Year</w:t>
            </w:r>
          </w:p>
        </w:tc>
        <w:tc>
          <w:tcPr>
            <w:tcW w:w="1173" w:type="dxa"/>
            <w:hideMark/>
          </w:tcPr>
          <w:p w14:paraId="75E84696" w14:textId="77777777" w:rsidR="00B63E0B" w:rsidRPr="00CB5CDE" w:rsidRDefault="00B63E0B" w:rsidP="00AE6561">
            <w:pPr>
              <w:rPr>
                <w:rFonts w:ascii="Avenir Next LT Pro" w:hAnsi="Avenir Next LT Pro" w:cs="Calibri"/>
                <w:b/>
                <w:bCs/>
                <w:color w:val="000000"/>
                <w:sz w:val="22"/>
                <w:szCs w:val="22"/>
              </w:rPr>
            </w:pPr>
            <w:r w:rsidRPr="00CB5CDE">
              <w:rPr>
                <w:rFonts w:ascii="Avenir Next LT Pro" w:hAnsi="Avenir Next LT Pro" w:cs="Calibri"/>
                <w:b/>
                <w:bCs/>
                <w:color w:val="000000"/>
                <w:sz w:val="22"/>
                <w:szCs w:val="22"/>
              </w:rPr>
              <w:t xml:space="preserve">Referrals </w:t>
            </w:r>
          </w:p>
        </w:tc>
        <w:tc>
          <w:tcPr>
            <w:tcW w:w="2229" w:type="dxa"/>
            <w:hideMark/>
          </w:tcPr>
          <w:p w14:paraId="6AE8D789" w14:textId="77777777" w:rsidR="00B63E0B" w:rsidRPr="00CB5CDE" w:rsidRDefault="00B63E0B" w:rsidP="00AE6561">
            <w:pPr>
              <w:rPr>
                <w:rFonts w:ascii="Avenir Next LT Pro" w:hAnsi="Avenir Next LT Pro" w:cs="Calibri"/>
                <w:b/>
                <w:bCs/>
                <w:color w:val="000000"/>
                <w:sz w:val="22"/>
                <w:szCs w:val="22"/>
              </w:rPr>
            </w:pPr>
            <w:r w:rsidRPr="00CB5CDE">
              <w:rPr>
                <w:rFonts w:ascii="Avenir Next LT Pro" w:hAnsi="Avenir Next LT Pro" w:cs="Calibri"/>
                <w:b/>
                <w:bCs/>
                <w:color w:val="000000"/>
                <w:sz w:val="22"/>
                <w:szCs w:val="22"/>
              </w:rPr>
              <w:t>Diagnostic Assessment (ASD)</w:t>
            </w:r>
          </w:p>
        </w:tc>
        <w:tc>
          <w:tcPr>
            <w:tcW w:w="2410" w:type="dxa"/>
          </w:tcPr>
          <w:p w14:paraId="7CFFD8E0" w14:textId="1A6AE7EA" w:rsidR="00B63E0B" w:rsidRPr="00CB5CDE" w:rsidRDefault="00B63E0B" w:rsidP="00AE6561">
            <w:pPr>
              <w:rPr>
                <w:rFonts w:ascii="Avenir Next LT Pro" w:hAnsi="Avenir Next LT Pro" w:cs="Calibri"/>
                <w:b/>
                <w:bCs/>
                <w:color w:val="000000"/>
                <w:sz w:val="22"/>
                <w:szCs w:val="22"/>
              </w:rPr>
            </w:pPr>
            <w:r>
              <w:rPr>
                <w:rFonts w:ascii="Avenir Next LT Pro" w:hAnsi="Avenir Next LT Pro" w:cs="Calibri"/>
                <w:b/>
                <w:bCs/>
                <w:color w:val="000000"/>
                <w:sz w:val="22"/>
                <w:szCs w:val="22"/>
              </w:rPr>
              <w:t>Completing Assessment</w:t>
            </w:r>
          </w:p>
        </w:tc>
        <w:tc>
          <w:tcPr>
            <w:tcW w:w="2126" w:type="dxa"/>
            <w:hideMark/>
          </w:tcPr>
          <w:p w14:paraId="01A1841B" w14:textId="1641FFD2" w:rsidR="00B63E0B" w:rsidRPr="00CB5CDE" w:rsidRDefault="00B63E0B" w:rsidP="00AE6561">
            <w:pPr>
              <w:rPr>
                <w:rFonts w:ascii="Avenir Next LT Pro" w:hAnsi="Avenir Next LT Pro" w:cs="Calibri"/>
                <w:b/>
                <w:bCs/>
                <w:color w:val="000000"/>
                <w:sz w:val="22"/>
                <w:szCs w:val="22"/>
              </w:rPr>
            </w:pPr>
            <w:r w:rsidRPr="00CB5CDE">
              <w:rPr>
                <w:rFonts w:ascii="Avenir Next LT Pro" w:hAnsi="Avenir Next LT Pro" w:cs="Calibri"/>
                <w:b/>
                <w:bCs/>
                <w:color w:val="000000"/>
                <w:sz w:val="22"/>
                <w:szCs w:val="22"/>
              </w:rPr>
              <w:t xml:space="preserve">Total number diagnosed (ASD) </w:t>
            </w:r>
          </w:p>
        </w:tc>
      </w:tr>
      <w:tr w:rsidR="00B63E0B" w:rsidRPr="00CB5CDE" w14:paraId="26CB13FC" w14:textId="77777777" w:rsidTr="00B63E0B">
        <w:trPr>
          <w:trHeight w:val="70"/>
        </w:trPr>
        <w:tc>
          <w:tcPr>
            <w:tcW w:w="1413" w:type="dxa"/>
            <w:shd w:val="clear" w:color="auto" w:fill="92CDDC" w:themeFill="accent5" w:themeFillTint="99"/>
            <w:hideMark/>
          </w:tcPr>
          <w:p w14:paraId="273B721D" w14:textId="77777777" w:rsidR="00B63E0B" w:rsidRPr="00CB5CDE" w:rsidRDefault="00B63E0B" w:rsidP="00AE6561">
            <w:pPr>
              <w:rPr>
                <w:rFonts w:ascii="Avenir Next LT Pro" w:hAnsi="Avenir Next LT Pro" w:cs="Calibri"/>
                <w:color w:val="000000"/>
                <w:sz w:val="22"/>
                <w:szCs w:val="22"/>
              </w:rPr>
            </w:pPr>
            <w:r w:rsidRPr="00CB5CDE">
              <w:rPr>
                <w:rFonts w:ascii="Avenir Next LT Pro" w:hAnsi="Avenir Next LT Pro" w:cs="Calibri"/>
                <w:color w:val="000000"/>
                <w:sz w:val="22"/>
                <w:szCs w:val="22"/>
              </w:rPr>
              <w:t>2017/18</w:t>
            </w:r>
          </w:p>
        </w:tc>
        <w:tc>
          <w:tcPr>
            <w:tcW w:w="1173" w:type="dxa"/>
            <w:shd w:val="clear" w:color="auto" w:fill="92CDDC" w:themeFill="accent5" w:themeFillTint="99"/>
            <w:noWrap/>
            <w:hideMark/>
          </w:tcPr>
          <w:p w14:paraId="2E95946F"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56</w:t>
            </w:r>
          </w:p>
        </w:tc>
        <w:tc>
          <w:tcPr>
            <w:tcW w:w="2229" w:type="dxa"/>
            <w:shd w:val="clear" w:color="auto" w:fill="92CDDC" w:themeFill="accent5" w:themeFillTint="99"/>
            <w:noWrap/>
            <w:hideMark/>
          </w:tcPr>
          <w:p w14:paraId="3B6C2E42"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49</w:t>
            </w:r>
          </w:p>
        </w:tc>
        <w:tc>
          <w:tcPr>
            <w:tcW w:w="2410" w:type="dxa"/>
            <w:shd w:val="clear" w:color="auto" w:fill="92CDDC" w:themeFill="accent5" w:themeFillTint="99"/>
          </w:tcPr>
          <w:p w14:paraId="15B27015" w14:textId="27D851DB" w:rsidR="00B63E0B" w:rsidRPr="00CB5CDE" w:rsidRDefault="00B63E0B"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Not reported</w:t>
            </w:r>
          </w:p>
        </w:tc>
        <w:tc>
          <w:tcPr>
            <w:tcW w:w="2126" w:type="dxa"/>
            <w:shd w:val="clear" w:color="auto" w:fill="92CDDC" w:themeFill="accent5" w:themeFillTint="99"/>
            <w:noWrap/>
            <w:hideMark/>
          </w:tcPr>
          <w:p w14:paraId="40375BD7" w14:textId="7E30156A"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17</w:t>
            </w:r>
          </w:p>
        </w:tc>
      </w:tr>
      <w:tr w:rsidR="00B63E0B" w:rsidRPr="00CB5CDE" w14:paraId="5CFBF63A" w14:textId="77777777" w:rsidTr="00B63E0B">
        <w:trPr>
          <w:trHeight w:val="70"/>
        </w:trPr>
        <w:tc>
          <w:tcPr>
            <w:tcW w:w="1413" w:type="dxa"/>
            <w:shd w:val="clear" w:color="auto" w:fill="FABF8F" w:themeFill="accent6" w:themeFillTint="99"/>
            <w:hideMark/>
          </w:tcPr>
          <w:p w14:paraId="57CA6BF5" w14:textId="77777777" w:rsidR="00B63E0B" w:rsidRPr="00CB5CDE" w:rsidRDefault="00B63E0B" w:rsidP="00AE6561">
            <w:pPr>
              <w:rPr>
                <w:rFonts w:ascii="Avenir Next LT Pro" w:hAnsi="Avenir Next LT Pro" w:cs="Calibri"/>
                <w:color w:val="000000"/>
                <w:sz w:val="22"/>
                <w:szCs w:val="22"/>
              </w:rPr>
            </w:pPr>
            <w:r w:rsidRPr="00CB5CDE">
              <w:rPr>
                <w:rFonts w:ascii="Avenir Next LT Pro" w:hAnsi="Avenir Next LT Pro" w:cs="Calibri"/>
                <w:color w:val="000000"/>
                <w:sz w:val="22"/>
                <w:szCs w:val="22"/>
              </w:rPr>
              <w:t xml:space="preserve">2018/19 </w:t>
            </w:r>
          </w:p>
        </w:tc>
        <w:tc>
          <w:tcPr>
            <w:tcW w:w="1173" w:type="dxa"/>
            <w:shd w:val="clear" w:color="auto" w:fill="FABF8F" w:themeFill="accent6" w:themeFillTint="99"/>
            <w:noWrap/>
            <w:hideMark/>
          </w:tcPr>
          <w:p w14:paraId="0B9C85CD"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63</w:t>
            </w:r>
          </w:p>
        </w:tc>
        <w:tc>
          <w:tcPr>
            <w:tcW w:w="2229" w:type="dxa"/>
            <w:shd w:val="clear" w:color="auto" w:fill="FABF8F" w:themeFill="accent6" w:themeFillTint="99"/>
            <w:noWrap/>
            <w:hideMark/>
          </w:tcPr>
          <w:p w14:paraId="0EC5BD40"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44</w:t>
            </w:r>
          </w:p>
        </w:tc>
        <w:tc>
          <w:tcPr>
            <w:tcW w:w="2410" w:type="dxa"/>
            <w:shd w:val="clear" w:color="auto" w:fill="FABF8F" w:themeFill="accent6" w:themeFillTint="99"/>
          </w:tcPr>
          <w:p w14:paraId="20F7D54B" w14:textId="2B109161" w:rsidR="00B63E0B" w:rsidRPr="00CB5CDE" w:rsidRDefault="00B63E0B"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44</w:t>
            </w:r>
          </w:p>
        </w:tc>
        <w:tc>
          <w:tcPr>
            <w:tcW w:w="2126" w:type="dxa"/>
            <w:shd w:val="clear" w:color="auto" w:fill="FABF8F" w:themeFill="accent6" w:themeFillTint="99"/>
            <w:noWrap/>
            <w:hideMark/>
          </w:tcPr>
          <w:p w14:paraId="52FA076E" w14:textId="798290BF"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23</w:t>
            </w:r>
          </w:p>
        </w:tc>
      </w:tr>
      <w:tr w:rsidR="00B63E0B" w:rsidRPr="00CB5CDE" w14:paraId="26365E09" w14:textId="77777777" w:rsidTr="00B63E0B">
        <w:trPr>
          <w:trHeight w:val="160"/>
        </w:trPr>
        <w:tc>
          <w:tcPr>
            <w:tcW w:w="1413" w:type="dxa"/>
            <w:shd w:val="clear" w:color="auto" w:fill="FFFF66"/>
          </w:tcPr>
          <w:p w14:paraId="49220528" w14:textId="77777777" w:rsidR="00B63E0B" w:rsidRPr="00CB5CDE" w:rsidRDefault="00B63E0B" w:rsidP="00AE6561">
            <w:pPr>
              <w:rPr>
                <w:rFonts w:ascii="Avenir Next LT Pro" w:hAnsi="Avenir Next LT Pro" w:cs="Calibri"/>
                <w:color w:val="000000"/>
                <w:sz w:val="22"/>
                <w:szCs w:val="22"/>
              </w:rPr>
            </w:pPr>
            <w:r w:rsidRPr="00CB5CDE">
              <w:rPr>
                <w:rFonts w:ascii="Avenir Next LT Pro" w:hAnsi="Avenir Next LT Pro" w:cs="Calibri"/>
                <w:color w:val="000000"/>
                <w:sz w:val="22"/>
                <w:szCs w:val="22"/>
              </w:rPr>
              <w:t xml:space="preserve">2019/20 </w:t>
            </w:r>
          </w:p>
        </w:tc>
        <w:tc>
          <w:tcPr>
            <w:tcW w:w="1173" w:type="dxa"/>
            <w:shd w:val="clear" w:color="auto" w:fill="FFFF66"/>
            <w:noWrap/>
          </w:tcPr>
          <w:p w14:paraId="392CB390"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52</w:t>
            </w:r>
          </w:p>
        </w:tc>
        <w:tc>
          <w:tcPr>
            <w:tcW w:w="2229" w:type="dxa"/>
            <w:shd w:val="clear" w:color="auto" w:fill="FFFF66"/>
            <w:noWrap/>
          </w:tcPr>
          <w:p w14:paraId="02F16199"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38</w:t>
            </w:r>
          </w:p>
        </w:tc>
        <w:tc>
          <w:tcPr>
            <w:tcW w:w="2410" w:type="dxa"/>
            <w:shd w:val="clear" w:color="auto" w:fill="FFFF66"/>
          </w:tcPr>
          <w:p w14:paraId="467FF5CF" w14:textId="3B96258A" w:rsidR="00B63E0B" w:rsidRPr="00CB5CDE" w:rsidRDefault="00B63E0B"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28</w:t>
            </w:r>
          </w:p>
        </w:tc>
        <w:tc>
          <w:tcPr>
            <w:tcW w:w="2126" w:type="dxa"/>
            <w:shd w:val="clear" w:color="auto" w:fill="FFFF66"/>
            <w:noWrap/>
          </w:tcPr>
          <w:p w14:paraId="0139EC99" w14:textId="5EBE52EB"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22</w:t>
            </w:r>
          </w:p>
        </w:tc>
      </w:tr>
      <w:tr w:rsidR="00B63E0B" w:rsidRPr="00CB5CDE" w14:paraId="3603C845" w14:textId="77777777" w:rsidTr="00B63E0B">
        <w:trPr>
          <w:trHeight w:val="160"/>
        </w:trPr>
        <w:tc>
          <w:tcPr>
            <w:tcW w:w="1413" w:type="dxa"/>
            <w:shd w:val="clear" w:color="auto" w:fill="B2A1C7" w:themeFill="accent4" w:themeFillTint="99"/>
          </w:tcPr>
          <w:p w14:paraId="0EC24F71" w14:textId="77777777" w:rsidR="00B63E0B" w:rsidRPr="00CB5CDE" w:rsidRDefault="00B63E0B" w:rsidP="00AE6561">
            <w:pPr>
              <w:rPr>
                <w:rFonts w:ascii="Avenir Next LT Pro" w:hAnsi="Avenir Next LT Pro" w:cs="Calibri"/>
                <w:color w:val="000000"/>
                <w:sz w:val="22"/>
                <w:szCs w:val="22"/>
              </w:rPr>
            </w:pPr>
            <w:r w:rsidRPr="00CB5CDE">
              <w:rPr>
                <w:rFonts w:ascii="Avenir Next LT Pro" w:hAnsi="Avenir Next LT Pro" w:cs="Calibri"/>
                <w:color w:val="000000"/>
                <w:sz w:val="22"/>
                <w:szCs w:val="22"/>
              </w:rPr>
              <w:t>2020/21</w:t>
            </w:r>
          </w:p>
        </w:tc>
        <w:tc>
          <w:tcPr>
            <w:tcW w:w="1173" w:type="dxa"/>
            <w:shd w:val="clear" w:color="auto" w:fill="B2A1C7" w:themeFill="accent4" w:themeFillTint="99"/>
            <w:noWrap/>
          </w:tcPr>
          <w:p w14:paraId="4F6E5005"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39</w:t>
            </w:r>
          </w:p>
        </w:tc>
        <w:tc>
          <w:tcPr>
            <w:tcW w:w="2229" w:type="dxa"/>
            <w:shd w:val="clear" w:color="auto" w:fill="B2A1C7" w:themeFill="accent4" w:themeFillTint="99"/>
            <w:noWrap/>
          </w:tcPr>
          <w:p w14:paraId="5600A738"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28</w:t>
            </w:r>
          </w:p>
        </w:tc>
        <w:tc>
          <w:tcPr>
            <w:tcW w:w="2410" w:type="dxa"/>
            <w:shd w:val="clear" w:color="auto" w:fill="B2A1C7" w:themeFill="accent4" w:themeFillTint="99"/>
          </w:tcPr>
          <w:p w14:paraId="1BFD5F76" w14:textId="0A2AE186" w:rsidR="00B63E0B" w:rsidRPr="00CB5CDE" w:rsidRDefault="00B63E0B"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7</w:t>
            </w:r>
          </w:p>
        </w:tc>
        <w:tc>
          <w:tcPr>
            <w:tcW w:w="2126" w:type="dxa"/>
            <w:shd w:val="clear" w:color="auto" w:fill="B2A1C7" w:themeFill="accent4" w:themeFillTint="99"/>
            <w:noWrap/>
          </w:tcPr>
          <w:p w14:paraId="721BF7F1" w14:textId="3605EA61"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3</w:t>
            </w:r>
          </w:p>
        </w:tc>
      </w:tr>
      <w:tr w:rsidR="00B63E0B" w:rsidRPr="00CB5CDE" w14:paraId="5506B3A2" w14:textId="77777777" w:rsidTr="00B63E0B">
        <w:trPr>
          <w:trHeight w:val="160"/>
        </w:trPr>
        <w:tc>
          <w:tcPr>
            <w:tcW w:w="1413" w:type="dxa"/>
            <w:shd w:val="clear" w:color="auto" w:fill="D99594" w:themeFill="accent2" w:themeFillTint="99"/>
          </w:tcPr>
          <w:p w14:paraId="4A26D250" w14:textId="77777777" w:rsidR="00B63E0B" w:rsidRPr="00CB5CDE" w:rsidRDefault="00B63E0B" w:rsidP="00AE6561">
            <w:pPr>
              <w:rPr>
                <w:rFonts w:ascii="Avenir Next LT Pro" w:hAnsi="Avenir Next LT Pro" w:cs="Calibri"/>
                <w:color w:val="000000"/>
                <w:sz w:val="22"/>
                <w:szCs w:val="22"/>
              </w:rPr>
            </w:pPr>
            <w:r w:rsidRPr="00CB5CDE">
              <w:rPr>
                <w:rFonts w:ascii="Avenir Next LT Pro" w:hAnsi="Avenir Next LT Pro" w:cs="Calibri"/>
                <w:color w:val="000000"/>
                <w:sz w:val="22"/>
                <w:szCs w:val="22"/>
              </w:rPr>
              <w:t xml:space="preserve">2021/22 </w:t>
            </w:r>
          </w:p>
        </w:tc>
        <w:tc>
          <w:tcPr>
            <w:tcW w:w="1173" w:type="dxa"/>
            <w:shd w:val="clear" w:color="auto" w:fill="D99594" w:themeFill="accent2" w:themeFillTint="99"/>
            <w:noWrap/>
          </w:tcPr>
          <w:p w14:paraId="4E5F1955"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69</w:t>
            </w:r>
          </w:p>
        </w:tc>
        <w:tc>
          <w:tcPr>
            <w:tcW w:w="2229" w:type="dxa"/>
            <w:shd w:val="clear" w:color="auto" w:fill="D99594" w:themeFill="accent2" w:themeFillTint="99"/>
            <w:noWrap/>
          </w:tcPr>
          <w:p w14:paraId="315BBCA7" w14:textId="77777777"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51</w:t>
            </w:r>
          </w:p>
        </w:tc>
        <w:tc>
          <w:tcPr>
            <w:tcW w:w="2410" w:type="dxa"/>
            <w:shd w:val="clear" w:color="auto" w:fill="D99594" w:themeFill="accent2" w:themeFillTint="99"/>
          </w:tcPr>
          <w:p w14:paraId="62B3A7C7" w14:textId="56116599" w:rsidR="00B63E0B" w:rsidRPr="00CB5CDE" w:rsidRDefault="00B63E0B"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38</w:t>
            </w:r>
          </w:p>
        </w:tc>
        <w:tc>
          <w:tcPr>
            <w:tcW w:w="2126" w:type="dxa"/>
            <w:shd w:val="clear" w:color="auto" w:fill="D99594" w:themeFill="accent2" w:themeFillTint="99"/>
            <w:noWrap/>
          </w:tcPr>
          <w:p w14:paraId="2761264A" w14:textId="6243EBA3" w:rsidR="00B63E0B" w:rsidRPr="00CB5CDE" w:rsidRDefault="00B63E0B" w:rsidP="00AE6561">
            <w:pPr>
              <w:jc w:val="right"/>
              <w:rPr>
                <w:rFonts w:ascii="Avenir Next LT Pro" w:hAnsi="Avenir Next LT Pro" w:cs="Calibri"/>
                <w:color w:val="000000"/>
                <w:sz w:val="22"/>
                <w:szCs w:val="22"/>
              </w:rPr>
            </w:pPr>
            <w:r w:rsidRPr="00CB5CDE">
              <w:rPr>
                <w:rFonts w:ascii="Avenir Next LT Pro" w:hAnsi="Avenir Next LT Pro" w:cs="Calibri"/>
                <w:color w:val="000000"/>
                <w:sz w:val="22"/>
                <w:szCs w:val="22"/>
              </w:rPr>
              <w:t>31</w:t>
            </w:r>
          </w:p>
        </w:tc>
      </w:tr>
      <w:tr w:rsidR="00B63E0B" w:rsidRPr="00CB5CDE" w14:paraId="36901E03" w14:textId="77777777" w:rsidTr="00B63E0B">
        <w:trPr>
          <w:trHeight w:val="160"/>
        </w:trPr>
        <w:tc>
          <w:tcPr>
            <w:tcW w:w="1413" w:type="dxa"/>
            <w:shd w:val="clear" w:color="auto" w:fill="92D050"/>
          </w:tcPr>
          <w:p w14:paraId="7D262404" w14:textId="53223F2A" w:rsidR="00B63E0B" w:rsidRPr="00CB5CDE" w:rsidRDefault="00B63E0B" w:rsidP="00AE6561">
            <w:pPr>
              <w:rPr>
                <w:rFonts w:ascii="Avenir Next LT Pro" w:hAnsi="Avenir Next LT Pro" w:cs="Calibri"/>
                <w:color w:val="000000"/>
                <w:sz w:val="22"/>
                <w:szCs w:val="22"/>
              </w:rPr>
            </w:pPr>
            <w:r w:rsidRPr="00CB5CDE">
              <w:rPr>
                <w:rFonts w:ascii="Avenir Next LT Pro" w:hAnsi="Avenir Next LT Pro" w:cs="Calibri"/>
                <w:color w:val="000000"/>
                <w:sz w:val="22"/>
                <w:szCs w:val="22"/>
              </w:rPr>
              <w:t xml:space="preserve">2022/23 </w:t>
            </w:r>
          </w:p>
        </w:tc>
        <w:tc>
          <w:tcPr>
            <w:tcW w:w="1173" w:type="dxa"/>
            <w:shd w:val="clear" w:color="auto" w:fill="92D050"/>
            <w:noWrap/>
          </w:tcPr>
          <w:p w14:paraId="3B40A94F" w14:textId="7AAFE27E" w:rsidR="00B63E0B" w:rsidRPr="00CD565E" w:rsidRDefault="00B80915"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96</w:t>
            </w:r>
          </w:p>
        </w:tc>
        <w:tc>
          <w:tcPr>
            <w:tcW w:w="2229" w:type="dxa"/>
            <w:shd w:val="clear" w:color="auto" w:fill="92D050"/>
            <w:noWrap/>
          </w:tcPr>
          <w:p w14:paraId="3AAC1F48" w14:textId="4A0FADE2" w:rsidR="00B63E0B" w:rsidRPr="00CD565E" w:rsidRDefault="00B80915"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54</w:t>
            </w:r>
          </w:p>
        </w:tc>
        <w:tc>
          <w:tcPr>
            <w:tcW w:w="2410" w:type="dxa"/>
            <w:shd w:val="clear" w:color="auto" w:fill="92D050"/>
          </w:tcPr>
          <w:p w14:paraId="093FC75B" w14:textId="6311E46A" w:rsidR="00B63E0B" w:rsidRPr="00CB5CDE" w:rsidRDefault="00B80915"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47</w:t>
            </w:r>
          </w:p>
        </w:tc>
        <w:tc>
          <w:tcPr>
            <w:tcW w:w="2126" w:type="dxa"/>
            <w:shd w:val="clear" w:color="auto" w:fill="92D050"/>
            <w:noWrap/>
          </w:tcPr>
          <w:p w14:paraId="7838CFFD" w14:textId="1E05E0CA" w:rsidR="00B63E0B" w:rsidRPr="00CB5CDE" w:rsidRDefault="00B80915" w:rsidP="00AE6561">
            <w:pPr>
              <w:jc w:val="right"/>
              <w:rPr>
                <w:rFonts w:ascii="Avenir Next LT Pro" w:hAnsi="Avenir Next LT Pro" w:cs="Calibri"/>
                <w:color w:val="000000"/>
                <w:sz w:val="22"/>
                <w:szCs w:val="22"/>
              </w:rPr>
            </w:pPr>
            <w:r>
              <w:rPr>
                <w:rFonts w:ascii="Avenir Next LT Pro" w:hAnsi="Avenir Next LT Pro" w:cs="Calibri"/>
                <w:color w:val="000000"/>
                <w:sz w:val="22"/>
                <w:szCs w:val="22"/>
              </w:rPr>
              <w:t>30</w:t>
            </w:r>
          </w:p>
        </w:tc>
      </w:tr>
    </w:tbl>
    <w:p w14:paraId="46279ECA" w14:textId="520D8867" w:rsidR="00C27180" w:rsidRDefault="00C27180" w:rsidP="00C27180">
      <w:pPr>
        <w:pStyle w:val="Heading1"/>
        <w:rPr>
          <w:rFonts w:ascii="Avenir Next LT Pro" w:eastAsiaTheme="minorHAnsi" w:hAnsi="Avenir Next LT Pro" w:cs="Arial"/>
          <w:lang w:eastAsia="en-US"/>
        </w:rPr>
      </w:pPr>
      <w:r>
        <w:rPr>
          <w:rFonts w:ascii="Avenir Next LT Pro" w:eastAsiaTheme="minorHAnsi" w:hAnsi="Avenir Next LT Pro" w:cs="Arial"/>
          <w:lang w:eastAsia="en-US"/>
        </w:rPr>
        <w:lastRenderedPageBreak/>
        <w:t>ADHD referrals and diagnostic pathway</w:t>
      </w:r>
    </w:p>
    <w:p w14:paraId="79037FC0" w14:textId="77777777" w:rsidR="00C27180" w:rsidRPr="00CB5CDE" w:rsidRDefault="00C27180" w:rsidP="00C27180">
      <w:pPr>
        <w:rPr>
          <w:rFonts w:eastAsiaTheme="minorHAnsi"/>
          <w:lang w:eastAsia="en-US"/>
        </w:rPr>
      </w:pPr>
    </w:p>
    <w:p w14:paraId="384C6876" w14:textId="6A3E696D" w:rsidR="00663E4B" w:rsidRDefault="00C27180" w:rsidP="00A64BC5">
      <w:pPr>
        <w:rPr>
          <w:rFonts w:ascii="Avenir Next LT Pro" w:hAnsi="Avenir Next LT Pro"/>
        </w:rPr>
      </w:pPr>
      <w:r w:rsidRPr="00CB5CDE">
        <w:rPr>
          <w:rFonts w:ascii="Avenir Next LT Pro" w:hAnsi="Avenir Next LT Pro"/>
        </w:rPr>
        <w:t xml:space="preserve">This data shows the total number of children and young people (5-18) who have accessed the </w:t>
      </w:r>
      <w:r w:rsidR="00A64BC5">
        <w:rPr>
          <w:rFonts w:ascii="Avenir Next LT Pro" w:hAnsi="Avenir Next LT Pro"/>
        </w:rPr>
        <w:t xml:space="preserve">ADHD </w:t>
      </w:r>
      <w:r w:rsidRPr="00CB5CDE">
        <w:rPr>
          <w:rFonts w:ascii="Avenir Next LT Pro" w:hAnsi="Avenir Next LT Pro"/>
        </w:rPr>
        <w:t xml:space="preserve">assessment and diagnostic pathway in North East Lincolnshire. </w:t>
      </w:r>
    </w:p>
    <w:p w14:paraId="775F7D32" w14:textId="4064F6E3" w:rsidR="00B80915" w:rsidRDefault="00B80915" w:rsidP="00A64BC5">
      <w:pPr>
        <w:rPr>
          <w:rFonts w:ascii="Avenir Next LT Pro" w:hAnsi="Avenir Next LT Pro"/>
        </w:rPr>
      </w:pPr>
      <w:r>
        <w:rPr>
          <w:rFonts w:ascii="Avenir Next LT Pro" w:hAnsi="Avenir Next LT Pro"/>
          <w:noProof/>
        </w:rPr>
        <w:drawing>
          <wp:inline distT="0" distB="0" distL="0" distR="0" wp14:anchorId="2A274767" wp14:editId="415C947B">
            <wp:extent cx="5542851" cy="2684502"/>
            <wp:effectExtent l="19050" t="19050" r="20320" b="20955"/>
            <wp:docPr id="4" name="Picture 4" descr="ADHD screening and referrals chart - chart data is presented in a table below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HD screening and referrals chart - chart data is presented in a table below the 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317" cy="2687633"/>
                    </a:xfrm>
                    <a:prstGeom prst="rect">
                      <a:avLst/>
                    </a:prstGeom>
                    <a:noFill/>
                    <a:ln>
                      <a:solidFill>
                        <a:schemeClr val="accent1"/>
                      </a:solidFill>
                    </a:ln>
                  </pic:spPr>
                </pic:pic>
              </a:graphicData>
            </a:graphic>
          </wp:inline>
        </w:drawing>
      </w:r>
    </w:p>
    <w:p w14:paraId="4A97DDD8" w14:textId="17B8FDFD" w:rsidR="00B63E0B" w:rsidRDefault="00B63E0B" w:rsidP="00426678">
      <w:pPr>
        <w:spacing w:after="200" w:line="276" w:lineRule="auto"/>
        <w:jc w:val="both"/>
        <w:rPr>
          <w:rFonts w:ascii="Arial" w:eastAsiaTheme="minorHAnsi" w:hAnsi="Arial" w:cs="Arial"/>
          <w:b/>
          <w:lang w:eastAsia="en-US"/>
        </w:rPr>
      </w:pPr>
    </w:p>
    <w:p w14:paraId="605BB31B" w14:textId="37863705" w:rsidR="00A64BC5" w:rsidRPr="00A64BC5" w:rsidRDefault="00A64BC5" w:rsidP="00A64BC5">
      <w:pPr>
        <w:pStyle w:val="Heading3"/>
        <w:spacing w:before="480"/>
        <w:rPr>
          <w:rFonts w:ascii="Avenir Next LT Pro" w:eastAsiaTheme="minorHAnsi" w:hAnsi="Avenir Next LT Pro" w:cs="Arial"/>
          <w:b/>
          <w:bCs/>
          <w:color w:val="365F91" w:themeColor="accent1" w:themeShade="BF"/>
          <w:lang w:eastAsia="en-US"/>
        </w:rPr>
      </w:pPr>
      <w:r w:rsidRPr="00A64BC5">
        <w:rPr>
          <w:rFonts w:ascii="Avenir Next LT Pro" w:eastAsiaTheme="minorHAnsi" w:hAnsi="Avenir Next LT Pro" w:cs="Arial"/>
          <w:b/>
          <w:bCs/>
          <w:color w:val="365F91" w:themeColor="accent1" w:themeShade="BF"/>
          <w:lang w:eastAsia="en-US"/>
        </w:rPr>
        <w:t xml:space="preserve">Figures for the full year 2018/19, </w:t>
      </w:r>
      <w:r w:rsidR="00B63E0B">
        <w:rPr>
          <w:rFonts w:ascii="Avenir Next LT Pro" w:eastAsiaTheme="minorHAnsi" w:hAnsi="Avenir Next LT Pro" w:cs="Arial"/>
          <w:b/>
          <w:bCs/>
          <w:color w:val="365F91" w:themeColor="accent1" w:themeShade="BF"/>
          <w:lang w:eastAsia="en-US"/>
        </w:rPr>
        <w:t xml:space="preserve">2019/20, </w:t>
      </w:r>
      <w:r w:rsidRPr="00A64BC5">
        <w:rPr>
          <w:rFonts w:ascii="Avenir Next LT Pro" w:eastAsiaTheme="minorHAnsi" w:hAnsi="Avenir Next LT Pro" w:cs="Arial"/>
          <w:b/>
          <w:bCs/>
          <w:color w:val="365F91" w:themeColor="accent1" w:themeShade="BF"/>
          <w:lang w:eastAsia="en-US"/>
        </w:rPr>
        <w:t>2020/21</w:t>
      </w:r>
      <w:r w:rsidR="00B80915">
        <w:rPr>
          <w:rFonts w:ascii="Avenir Next LT Pro" w:eastAsiaTheme="minorHAnsi" w:hAnsi="Avenir Next LT Pro" w:cs="Arial"/>
          <w:b/>
          <w:bCs/>
          <w:color w:val="365F91" w:themeColor="accent1" w:themeShade="BF"/>
          <w:lang w:eastAsia="en-US"/>
        </w:rPr>
        <w:t>,</w:t>
      </w:r>
      <w:r w:rsidRPr="00A64BC5">
        <w:rPr>
          <w:rFonts w:ascii="Avenir Next LT Pro" w:eastAsiaTheme="minorHAnsi" w:hAnsi="Avenir Next LT Pro" w:cs="Arial"/>
          <w:b/>
          <w:bCs/>
          <w:color w:val="365F91" w:themeColor="accent1" w:themeShade="BF"/>
          <w:lang w:eastAsia="en-US"/>
        </w:rPr>
        <w:t xml:space="preserve"> 2021/22, </w:t>
      </w:r>
      <w:r w:rsidR="00B80915">
        <w:rPr>
          <w:rFonts w:ascii="Avenir Next LT Pro" w:eastAsiaTheme="minorHAnsi" w:hAnsi="Avenir Next LT Pro" w:cs="Arial"/>
          <w:b/>
          <w:bCs/>
          <w:color w:val="365F91" w:themeColor="accent1" w:themeShade="BF"/>
          <w:lang w:eastAsia="en-US"/>
        </w:rPr>
        <w:t xml:space="preserve">&amp; </w:t>
      </w:r>
      <w:r w:rsidRPr="00A64BC5">
        <w:rPr>
          <w:rFonts w:ascii="Avenir Next LT Pro" w:eastAsiaTheme="minorHAnsi" w:hAnsi="Avenir Next LT Pro" w:cs="Arial"/>
          <w:b/>
          <w:bCs/>
          <w:color w:val="365F91" w:themeColor="accent1" w:themeShade="BF"/>
          <w:lang w:eastAsia="en-US"/>
        </w:rPr>
        <w:t>2022/23</w:t>
      </w:r>
    </w:p>
    <w:tbl>
      <w:tblPr>
        <w:tblStyle w:val="TableGridLight"/>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1701"/>
        <w:gridCol w:w="2551"/>
      </w:tblGrid>
      <w:tr w:rsidR="00B63E0B" w:rsidRPr="00A64BC5" w14:paraId="53CF6180" w14:textId="77777777" w:rsidTr="00B63E0B">
        <w:trPr>
          <w:trHeight w:val="660"/>
        </w:trPr>
        <w:tc>
          <w:tcPr>
            <w:tcW w:w="2122" w:type="dxa"/>
            <w:noWrap/>
            <w:hideMark/>
          </w:tcPr>
          <w:p w14:paraId="193B36E3" w14:textId="77777777" w:rsidR="00B63E0B" w:rsidRPr="00A64BC5" w:rsidRDefault="00B63E0B" w:rsidP="00A64BC5">
            <w:pPr>
              <w:rPr>
                <w:rFonts w:ascii="Avenir Next LT Pro" w:hAnsi="Avenir Next LT Pro" w:cs="Calibri"/>
                <w:b/>
                <w:bCs/>
                <w:color w:val="000000"/>
                <w:sz w:val="22"/>
                <w:szCs w:val="22"/>
              </w:rPr>
            </w:pPr>
            <w:r w:rsidRPr="00A64BC5">
              <w:rPr>
                <w:rFonts w:ascii="Avenir Next LT Pro" w:hAnsi="Avenir Next LT Pro" w:cs="Calibri"/>
                <w:b/>
                <w:bCs/>
                <w:color w:val="000000"/>
                <w:sz w:val="22"/>
                <w:szCs w:val="22"/>
              </w:rPr>
              <w:t>Year</w:t>
            </w:r>
          </w:p>
        </w:tc>
        <w:tc>
          <w:tcPr>
            <w:tcW w:w="2268" w:type="dxa"/>
            <w:hideMark/>
          </w:tcPr>
          <w:p w14:paraId="0FB54F80" w14:textId="77777777" w:rsidR="00B63E0B" w:rsidRPr="00A64BC5" w:rsidRDefault="00B63E0B" w:rsidP="00A64BC5">
            <w:pPr>
              <w:rPr>
                <w:rFonts w:ascii="Avenir Next LT Pro" w:hAnsi="Avenir Next LT Pro" w:cs="Calibri"/>
                <w:b/>
                <w:bCs/>
                <w:color w:val="000000"/>
                <w:sz w:val="22"/>
                <w:szCs w:val="22"/>
              </w:rPr>
            </w:pPr>
            <w:r w:rsidRPr="00A64BC5">
              <w:rPr>
                <w:rFonts w:ascii="Avenir Next LT Pro" w:hAnsi="Avenir Next LT Pro" w:cs="Calibri"/>
                <w:b/>
                <w:bCs/>
                <w:color w:val="000000"/>
                <w:sz w:val="22"/>
                <w:szCs w:val="22"/>
              </w:rPr>
              <w:t>Referrals (Starting Assessment)</w:t>
            </w:r>
          </w:p>
        </w:tc>
        <w:tc>
          <w:tcPr>
            <w:tcW w:w="1701" w:type="dxa"/>
          </w:tcPr>
          <w:p w14:paraId="34E5F65A" w14:textId="700403C7" w:rsidR="00B63E0B" w:rsidRPr="00A64BC5" w:rsidRDefault="00B63E0B" w:rsidP="00A64BC5">
            <w:pPr>
              <w:rPr>
                <w:rFonts w:ascii="Avenir Next LT Pro" w:hAnsi="Avenir Next LT Pro" w:cs="Calibri"/>
                <w:b/>
                <w:bCs/>
                <w:color w:val="000000"/>
                <w:sz w:val="22"/>
                <w:szCs w:val="22"/>
              </w:rPr>
            </w:pPr>
            <w:r>
              <w:rPr>
                <w:rFonts w:ascii="Avenir Next LT Pro" w:hAnsi="Avenir Next LT Pro" w:cs="Calibri"/>
                <w:b/>
                <w:bCs/>
                <w:color w:val="000000"/>
                <w:sz w:val="22"/>
                <w:szCs w:val="22"/>
              </w:rPr>
              <w:t>Completing Assessment</w:t>
            </w:r>
          </w:p>
        </w:tc>
        <w:tc>
          <w:tcPr>
            <w:tcW w:w="2551" w:type="dxa"/>
            <w:hideMark/>
          </w:tcPr>
          <w:p w14:paraId="39B79B58" w14:textId="17F53459" w:rsidR="00B63E0B" w:rsidRPr="00A64BC5" w:rsidRDefault="00B63E0B" w:rsidP="00A64BC5">
            <w:pPr>
              <w:rPr>
                <w:rFonts w:ascii="Avenir Next LT Pro" w:hAnsi="Avenir Next LT Pro" w:cs="Calibri"/>
                <w:b/>
                <w:bCs/>
                <w:color w:val="000000"/>
                <w:sz w:val="22"/>
                <w:szCs w:val="22"/>
              </w:rPr>
            </w:pPr>
            <w:r w:rsidRPr="00A64BC5">
              <w:rPr>
                <w:rFonts w:ascii="Avenir Next LT Pro" w:hAnsi="Avenir Next LT Pro" w:cs="Calibri"/>
                <w:b/>
                <w:bCs/>
                <w:color w:val="000000"/>
                <w:sz w:val="22"/>
                <w:szCs w:val="22"/>
              </w:rPr>
              <w:t xml:space="preserve">Total number diagnosed (ADHD) </w:t>
            </w:r>
          </w:p>
        </w:tc>
      </w:tr>
      <w:tr w:rsidR="00B63E0B" w:rsidRPr="00A64BC5" w14:paraId="6398AF7F" w14:textId="77777777" w:rsidTr="00B63E0B">
        <w:trPr>
          <w:trHeight w:val="330"/>
        </w:trPr>
        <w:tc>
          <w:tcPr>
            <w:tcW w:w="2122" w:type="dxa"/>
            <w:shd w:val="clear" w:color="auto" w:fill="FABF8F" w:themeFill="accent6" w:themeFillTint="99"/>
            <w:hideMark/>
          </w:tcPr>
          <w:p w14:paraId="55DC3FDE" w14:textId="77777777" w:rsidR="00B63E0B" w:rsidRPr="00A64BC5" w:rsidRDefault="00B63E0B" w:rsidP="00A64BC5">
            <w:pPr>
              <w:rPr>
                <w:rFonts w:ascii="Avenir Next LT Pro" w:hAnsi="Avenir Next LT Pro" w:cs="Calibri"/>
                <w:color w:val="000000"/>
                <w:sz w:val="22"/>
                <w:szCs w:val="22"/>
              </w:rPr>
            </w:pPr>
            <w:r w:rsidRPr="00A64BC5">
              <w:rPr>
                <w:rFonts w:ascii="Avenir Next LT Pro" w:hAnsi="Avenir Next LT Pro" w:cs="Calibri"/>
                <w:color w:val="000000"/>
                <w:sz w:val="22"/>
                <w:szCs w:val="22"/>
              </w:rPr>
              <w:t xml:space="preserve">2018/19 </w:t>
            </w:r>
          </w:p>
        </w:tc>
        <w:tc>
          <w:tcPr>
            <w:tcW w:w="2268" w:type="dxa"/>
            <w:shd w:val="clear" w:color="auto" w:fill="FABF8F" w:themeFill="accent6" w:themeFillTint="99"/>
            <w:noWrap/>
          </w:tcPr>
          <w:p w14:paraId="7D8B15B7" w14:textId="77777777" w:rsidR="00B63E0B" w:rsidRPr="00A64BC5" w:rsidRDefault="00B63E0B" w:rsidP="00A64BC5">
            <w:pPr>
              <w:jc w:val="right"/>
              <w:rPr>
                <w:rFonts w:ascii="Avenir Next LT Pro" w:hAnsi="Avenir Next LT Pro" w:cs="Calibri"/>
                <w:color w:val="000000"/>
                <w:sz w:val="22"/>
                <w:szCs w:val="22"/>
              </w:rPr>
            </w:pPr>
            <w:r w:rsidRPr="00A64BC5">
              <w:rPr>
                <w:rFonts w:ascii="Avenir Next LT Pro" w:hAnsi="Avenir Next LT Pro" w:cs="Calibri"/>
                <w:color w:val="000000"/>
                <w:sz w:val="22"/>
                <w:szCs w:val="22"/>
              </w:rPr>
              <w:t>22</w:t>
            </w:r>
          </w:p>
        </w:tc>
        <w:tc>
          <w:tcPr>
            <w:tcW w:w="1701" w:type="dxa"/>
            <w:shd w:val="clear" w:color="auto" w:fill="FABF8F" w:themeFill="accent6" w:themeFillTint="99"/>
          </w:tcPr>
          <w:p w14:paraId="32BA3EF0" w14:textId="1FABF427" w:rsidR="00B63E0B" w:rsidRPr="00A64BC5" w:rsidRDefault="00B63E0B" w:rsidP="00A64BC5">
            <w:pPr>
              <w:jc w:val="right"/>
              <w:rPr>
                <w:rFonts w:ascii="Avenir Next LT Pro" w:hAnsi="Avenir Next LT Pro" w:cs="Calibri"/>
                <w:color w:val="000000"/>
                <w:sz w:val="22"/>
                <w:szCs w:val="22"/>
              </w:rPr>
            </w:pPr>
            <w:r>
              <w:rPr>
                <w:rFonts w:ascii="Avenir Next LT Pro" w:hAnsi="Avenir Next LT Pro" w:cs="Calibri"/>
                <w:color w:val="000000"/>
                <w:sz w:val="22"/>
                <w:szCs w:val="22"/>
              </w:rPr>
              <w:t>Not reported</w:t>
            </w:r>
          </w:p>
        </w:tc>
        <w:tc>
          <w:tcPr>
            <w:tcW w:w="2551" w:type="dxa"/>
            <w:shd w:val="clear" w:color="auto" w:fill="FABF8F" w:themeFill="accent6" w:themeFillTint="99"/>
            <w:noWrap/>
          </w:tcPr>
          <w:p w14:paraId="5BCD072A" w14:textId="7528A120" w:rsidR="00B63E0B" w:rsidRPr="00A64BC5" w:rsidRDefault="00B63E0B" w:rsidP="00A64BC5">
            <w:pPr>
              <w:jc w:val="right"/>
              <w:rPr>
                <w:rFonts w:ascii="Avenir Next LT Pro" w:hAnsi="Avenir Next LT Pro" w:cs="Calibri"/>
                <w:color w:val="000000"/>
                <w:sz w:val="22"/>
                <w:szCs w:val="22"/>
              </w:rPr>
            </w:pPr>
            <w:r w:rsidRPr="00A64BC5">
              <w:rPr>
                <w:rFonts w:ascii="Avenir Next LT Pro" w:hAnsi="Avenir Next LT Pro" w:cs="Calibri"/>
                <w:color w:val="000000"/>
                <w:sz w:val="22"/>
                <w:szCs w:val="22"/>
              </w:rPr>
              <w:t>40</w:t>
            </w:r>
          </w:p>
        </w:tc>
      </w:tr>
      <w:tr w:rsidR="00B63E0B" w:rsidRPr="00A64BC5" w14:paraId="11724708" w14:textId="77777777" w:rsidTr="00B63E0B">
        <w:trPr>
          <w:trHeight w:val="330"/>
        </w:trPr>
        <w:tc>
          <w:tcPr>
            <w:tcW w:w="2122" w:type="dxa"/>
            <w:shd w:val="clear" w:color="auto" w:fill="92CDDC" w:themeFill="accent5" w:themeFillTint="99"/>
            <w:hideMark/>
          </w:tcPr>
          <w:p w14:paraId="739181C9" w14:textId="77777777" w:rsidR="00B63E0B" w:rsidRPr="00A64BC5" w:rsidRDefault="00B63E0B" w:rsidP="00A64BC5">
            <w:pPr>
              <w:rPr>
                <w:rFonts w:ascii="Avenir Next LT Pro" w:hAnsi="Avenir Next LT Pro" w:cs="Calibri"/>
                <w:color w:val="000000"/>
                <w:sz w:val="22"/>
                <w:szCs w:val="22"/>
              </w:rPr>
            </w:pPr>
            <w:r w:rsidRPr="00A64BC5">
              <w:rPr>
                <w:rFonts w:ascii="Avenir Next LT Pro" w:hAnsi="Avenir Next LT Pro" w:cs="Calibri"/>
                <w:color w:val="000000"/>
                <w:sz w:val="22"/>
                <w:szCs w:val="22"/>
              </w:rPr>
              <w:t xml:space="preserve">2019/20 </w:t>
            </w:r>
          </w:p>
        </w:tc>
        <w:tc>
          <w:tcPr>
            <w:tcW w:w="2268" w:type="dxa"/>
            <w:shd w:val="clear" w:color="auto" w:fill="92CDDC" w:themeFill="accent5" w:themeFillTint="99"/>
            <w:noWrap/>
          </w:tcPr>
          <w:p w14:paraId="302CF661" w14:textId="77777777" w:rsidR="00B63E0B" w:rsidRPr="00A64BC5" w:rsidRDefault="00B63E0B" w:rsidP="00A64BC5">
            <w:pPr>
              <w:jc w:val="right"/>
              <w:rPr>
                <w:rFonts w:ascii="Avenir Next LT Pro" w:hAnsi="Avenir Next LT Pro" w:cs="Calibri"/>
                <w:color w:val="000000"/>
                <w:sz w:val="22"/>
                <w:szCs w:val="22"/>
              </w:rPr>
            </w:pPr>
            <w:r w:rsidRPr="00A64BC5">
              <w:rPr>
                <w:rFonts w:ascii="Avenir Next LT Pro" w:hAnsi="Avenir Next LT Pro" w:cs="Calibri"/>
                <w:color w:val="000000"/>
                <w:sz w:val="22"/>
                <w:szCs w:val="22"/>
              </w:rPr>
              <w:t>38</w:t>
            </w:r>
          </w:p>
        </w:tc>
        <w:tc>
          <w:tcPr>
            <w:tcW w:w="1701" w:type="dxa"/>
            <w:shd w:val="clear" w:color="auto" w:fill="92CDDC" w:themeFill="accent5" w:themeFillTint="99"/>
          </w:tcPr>
          <w:p w14:paraId="4FBC85A1" w14:textId="7460B178" w:rsidR="00B63E0B" w:rsidRPr="00A64BC5" w:rsidRDefault="00B63E0B" w:rsidP="00A64BC5">
            <w:pPr>
              <w:jc w:val="right"/>
              <w:rPr>
                <w:rFonts w:ascii="Avenir Next LT Pro" w:hAnsi="Avenir Next LT Pro" w:cs="Calibri"/>
                <w:color w:val="000000"/>
                <w:sz w:val="22"/>
                <w:szCs w:val="22"/>
              </w:rPr>
            </w:pPr>
            <w:r>
              <w:rPr>
                <w:rFonts w:ascii="Avenir Next LT Pro" w:hAnsi="Avenir Next LT Pro" w:cs="Calibri"/>
                <w:color w:val="000000"/>
                <w:sz w:val="22"/>
                <w:szCs w:val="22"/>
              </w:rPr>
              <w:t>12</w:t>
            </w:r>
          </w:p>
        </w:tc>
        <w:tc>
          <w:tcPr>
            <w:tcW w:w="2551" w:type="dxa"/>
            <w:shd w:val="clear" w:color="auto" w:fill="92CDDC" w:themeFill="accent5" w:themeFillTint="99"/>
            <w:noWrap/>
          </w:tcPr>
          <w:p w14:paraId="47F4B28B" w14:textId="2E0D4FD6" w:rsidR="00B63E0B" w:rsidRPr="00A64BC5" w:rsidRDefault="00B63E0B" w:rsidP="00A64BC5">
            <w:pPr>
              <w:jc w:val="right"/>
              <w:rPr>
                <w:rFonts w:ascii="Avenir Next LT Pro" w:hAnsi="Avenir Next LT Pro" w:cs="Calibri"/>
                <w:color w:val="000000"/>
                <w:sz w:val="22"/>
                <w:szCs w:val="22"/>
              </w:rPr>
            </w:pPr>
            <w:r w:rsidRPr="00A64BC5">
              <w:rPr>
                <w:rFonts w:ascii="Avenir Next LT Pro" w:hAnsi="Avenir Next LT Pro" w:cs="Calibri"/>
                <w:color w:val="000000"/>
                <w:sz w:val="22"/>
                <w:szCs w:val="22"/>
              </w:rPr>
              <w:t>12</w:t>
            </w:r>
          </w:p>
        </w:tc>
      </w:tr>
      <w:tr w:rsidR="00B63E0B" w:rsidRPr="00A64BC5" w14:paraId="2AD6B0AC" w14:textId="77777777" w:rsidTr="00B63E0B">
        <w:trPr>
          <w:trHeight w:val="330"/>
        </w:trPr>
        <w:tc>
          <w:tcPr>
            <w:tcW w:w="2122" w:type="dxa"/>
            <w:shd w:val="clear" w:color="auto" w:fill="66FF66"/>
          </w:tcPr>
          <w:p w14:paraId="681BAAC9" w14:textId="77777777" w:rsidR="00B63E0B" w:rsidRPr="00A64BC5" w:rsidRDefault="00B63E0B" w:rsidP="00A64BC5">
            <w:pPr>
              <w:rPr>
                <w:rFonts w:ascii="Avenir Next LT Pro" w:hAnsi="Avenir Next LT Pro" w:cs="Calibri"/>
                <w:color w:val="000000"/>
                <w:sz w:val="22"/>
                <w:szCs w:val="22"/>
              </w:rPr>
            </w:pPr>
            <w:r w:rsidRPr="00A64BC5">
              <w:rPr>
                <w:rFonts w:ascii="Avenir Next LT Pro" w:hAnsi="Avenir Next LT Pro" w:cs="Calibri"/>
                <w:color w:val="000000"/>
                <w:sz w:val="22"/>
                <w:szCs w:val="22"/>
              </w:rPr>
              <w:t xml:space="preserve">2020/21 </w:t>
            </w:r>
          </w:p>
        </w:tc>
        <w:tc>
          <w:tcPr>
            <w:tcW w:w="2268" w:type="dxa"/>
            <w:shd w:val="clear" w:color="auto" w:fill="66FF66"/>
            <w:noWrap/>
          </w:tcPr>
          <w:p w14:paraId="0873D9A8" w14:textId="77777777" w:rsidR="00B63E0B" w:rsidRPr="00A64BC5" w:rsidRDefault="00B63E0B" w:rsidP="00A64BC5">
            <w:pPr>
              <w:jc w:val="right"/>
              <w:rPr>
                <w:rFonts w:ascii="Avenir Next LT Pro" w:hAnsi="Avenir Next LT Pro" w:cs="Calibri"/>
                <w:color w:val="000000"/>
                <w:sz w:val="22"/>
                <w:szCs w:val="22"/>
              </w:rPr>
            </w:pPr>
            <w:r w:rsidRPr="00A64BC5">
              <w:rPr>
                <w:rFonts w:ascii="Avenir Next LT Pro" w:hAnsi="Avenir Next LT Pro" w:cs="Calibri"/>
                <w:color w:val="000000"/>
                <w:sz w:val="22"/>
                <w:szCs w:val="22"/>
              </w:rPr>
              <w:t>39</w:t>
            </w:r>
          </w:p>
        </w:tc>
        <w:tc>
          <w:tcPr>
            <w:tcW w:w="1701" w:type="dxa"/>
            <w:shd w:val="clear" w:color="auto" w:fill="66FF66"/>
          </w:tcPr>
          <w:p w14:paraId="7A945345" w14:textId="5CF3B223" w:rsidR="00B63E0B" w:rsidRPr="00A64BC5" w:rsidRDefault="00B63E0B" w:rsidP="00A64BC5">
            <w:pPr>
              <w:jc w:val="right"/>
              <w:rPr>
                <w:rFonts w:ascii="Avenir Next LT Pro" w:hAnsi="Avenir Next LT Pro" w:cs="Calibri"/>
                <w:color w:val="000000"/>
                <w:sz w:val="22"/>
                <w:szCs w:val="22"/>
              </w:rPr>
            </w:pPr>
            <w:r>
              <w:rPr>
                <w:rFonts w:ascii="Avenir Next LT Pro" w:hAnsi="Avenir Next LT Pro" w:cs="Calibri"/>
                <w:color w:val="000000"/>
                <w:sz w:val="22"/>
                <w:szCs w:val="22"/>
              </w:rPr>
              <w:t>14</w:t>
            </w:r>
          </w:p>
        </w:tc>
        <w:tc>
          <w:tcPr>
            <w:tcW w:w="2551" w:type="dxa"/>
            <w:shd w:val="clear" w:color="auto" w:fill="66FF66"/>
            <w:noWrap/>
          </w:tcPr>
          <w:p w14:paraId="5F71C670" w14:textId="0E5F56DF" w:rsidR="00B63E0B" w:rsidRPr="00A64BC5" w:rsidRDefault="00B63E0B" w:rsidP="00A64BC5">
            <w:pPr>
              <w:jc w:val="right"/>
              <w:rPr>
                <w:rFonts w:ascii="Avenir Next LT Pro" w:hAnsi="Avenir Next LT Pro" w:cs="Calibri"/>
                <w:color w:val="000000"/>
                <w:sz w:val="22"/>
                <w:szCs w:val="22"/>
              </w:rPr>
            </w:pPr>
            <w:r w:rsidRPr="00A64BC5">
              <w:rPr>
                <w:rFonts w:ascii="Avenir Next LT Pro" w:hAnsi="Avenir Next LT Pro" w:cs="Calibri"/>
                <w:color w:val="000000"/>
                <w:sz w:val="22"/>
                <w:szCs w:val="22"/>
              </w:rPr>
              <w:t>11</w:t>
            </w:r>
          </w:p>
        </w:tc>
      </w:tr>
      <w:tr w:rsidR="00B63E0B" w:rsidRPr="00A64BC5" w14:paraId="058F8737" w14:textId="77777777" w:rsidTr="00B63E0B">
        <w:trPr>
          <w:trHeight w:val="330"/>
        </w:trPr>
        <w:tc>
          <w:tcPr>
            <w:tcW w:w="2122" w:type="dxa"/>
            <w:shd w:val="clear" w:color="auto" w:fill="FFFF66"/>
          </w:tcPr>
          <w:p w14:paraId="0944853D" w14:textId="77777777" w:rsidR="00B63E0B" w:rsidRPr="00A64BC5" w:rsidRDefault="00B63E0B" w:rsidP="00A64BC5">
            <w:pPr>
              <w:rPr>
                <w:rFonts w:ascii="Avenir Next LT Pro" w:hAnsi="Avenir Next LT Pro" w:cs="Calibri"/>
                <w:color w:val="000000"/>
                <w:sz w:val="22"/>
                <w:szCs w:val="22"/>
              </w:rPr>
            </w:pPr>
            <w:r w:rsidRPr="00A64BC5">
              <w:rPr>
                <w:rFonts w:ascii="Avenir Next LT Pro" w:hAnsi="Avenir Next LT Pro" w:cs="Calibri"/>
                <w:color w:val="000000"/>
                <w:sz w:val="22"/>
                <w:szCs w:val="22"/>
              </w:rPr>
              <w:t xml:space="preserve">2021/22 </w:t>
            </w:r>
          </w:p>
        </w:tc>
        <w:tc>
          <w:tcPr>
            <w:tcW w:w="2268" w:type="dxa"/>
            <w:shd w:val="clear" w:color="auto" w:fill="FFFF66"/>
            <w:noWrap/>
          </w:tcPr>
          <w:p w14:paraId="24B824F7" w14:textId="77777777" w:rsidR="00B63E0B" w:rsidRPr="00A64BC5" w:rsidRDefault="00B63E0B" w:rsidP="00A64BC5">
            <w:pPr>
              <w:jc w:val="right"/>
              <w:rPr>
                <w:rFonts w:ascii="Avenir Next LT Pro" w:hAnsi="Avenir Next LT Pro" w:cs="Calibri"/>
                <w:color w:val="000000"/>
                <w:sz w:val="22"/>
                <w:szCs w:val="22"/>
              </w:rPr>
            </w:pPr>
            <w:r w:rsidRPr="00A64BC5">
              <w:rPr>
                <w:rFonts w:ascii="Avenir Next LT Pro" w:hAnsi="Avenir Next LT Pro" w:cs="Calibri"/>
                <w:color w:val="000000"/>
                <w:sz w:val="22"/>
                <w:szCs w:val="22"/>
              </w:rPr>
              <w:t>43</w:t>
            </w:r>
          </w:p>
        </w:tc>
        <w:tc>
          <w:tcPr>
            <w:tcW w:w="1701" w:type="dxa"/>
            <w:shd w:val="clear" w:color="auto" w:fill="FFFF66"/>
          </w:tcPr>
          <w:p w14:paraId="1307938B" w14:textId="53D4B575" w:rsidR="00B63E0B" w:rsidRPr="00A64BC5" w:rsidRDefault="00B63E0B" w:rsidP="00A64BC5">
            <w:pPr>
              <w:jc w:val="right"/>
              <w:rPr>
                <w:rFonts w:ascii="Avenir Next LT Pro" w:hAnsi="Avenir Next LT Pro" w:cs="Calibri"/>
                <w:color w:val="000000"/>
                <w:sz w:val="22"/>
                <w:szCs w:val="22"/>
              </w:rPr>
            </w:pPr>
            <w:r>
              <w:rPr>
                <w:rFonts w:ascii="Avenir Next LT Pro" w:hAnsi="Avenir Next LT Pro" w:cs="Calibri"/>
                <w:color w:val="000000"/>
                <w:sz w:val="22"/>
                <w:szCs w:val="22"/>
              </w:rPr>
              <w:t>29</w:t>
            </w:r>
          </w:p>
        </w:tc>
        <w:tc>
          <w:tcPr>
            <w:tcW w:w="2551" w:type="dxa"/>
            <w:shd w:val="clear" w:color="auto" w:fill="FFFF66"/>
            <w:noWrap/>
          </w:tcPr>
          <w:p w14:paraId="476EED39" w14:textId="274B68FE" w:rsidR="00B63E0B" w:rsidRPr="00A64BC5" w:rsidRDefault="00B63E0B" w:rsidP="00A64BC5">
            <w:pPr>
              <w:jc w:val="right"/>
              <w:rPr>
                <w:rFonts w:ascii="Avenir Next LT Pro" w:hAnsi="Avenir Next LT Pro" w:cs="Calibri"/>
                <w:color w:val="000000"/>
                <w:sz w:val="22"/>
                <w:szCs w:val="22"/>
              </w:rPr>
            </w:pPr>
            <w:r w:rsidRPr="00A64BC5">
              <w:rPr>
                <w:rFonts w:ascii="Avenir Next LT Pro" w:hAnsi="Avenir Next LT Pro" w:cs="Calibri"/>
                <w:color w:val="000000"/>
                <w:sz w:val="22"/>
                <w:szCs w:val="22"/>
              </w:rPr>
              <w:t>25</w:t>
            </w:r>
          </w:p>
        </w:tc>
      </w:tr>
      <w:tr w:rsidR="00B63E0B" w:rsidRPr="00A64BC5" w14:paraId="548F6856" w14:textId="77777777" w:rsidTr="00B63E0B">
        <w:trPr>
          <w:trHeight w:val="330"/>
        </w:trPr>
        <w:tc>
          <w:tcPr>
            <w:tcW w:w="2122" w:type="dxa"/>
            <w:shd w:val="clear" w:color="auto" w:fill="B2A1C7" w:themeFill="accent4" w:themeFillTint="99"/>
          </w:tcPr>
          <w:p w14:paraId="6E4304D8" w14:textId="46622471" w:rsidR="00B63E0B" w:rsidRPr="00A64BC5" w:rsidRDefault="00B63E0B" w:rsidP="00A64BC5">
            <w:pPr>
              <w:rPr>
                <w:rFonts w:ascii="Avenir Next LT Pro" w:hAnsi="Avenir Next LT Pro" w:cs="Calibri"/>
                <w:color w:val="000000"/>
                <w:sz w:val="22"/>
                <w:szCs w:val="22"/>
              </w:rPr>
            </w:pPr>
            <w:r w:rsidRPr="00A64BC5">
              <w:rPr>
                <w:rFonts w:ascii="Avenir Next LT Pro" w:hAnsi="Avenir Next LT Pro" w:cs="Calibri"/>
                <w:color w:val="000000"/>
                <w:sz w:val="22"/>
                <w:szCs w:val="22"/>
              </w:rPr>
              <w:t xml:space="preserve">2022/23 </w:t>
            </w:r>
          </w:p>
        </w:tc>
        <w:tc>
          <w:tcPr>
            <w:tcW w:w="2268" w:type="dxa"/>
            <w:shd w:val="clear" w:color="auto" w:fill="B2A1C7" w:themeFill="accent4" w:themeFillTint="99"/>
            <w:noWrap/>
          </w:tcPr>
          <w:p w14:paraId="1C1DD7B2" w14:textId="770A8933" w:rsidR="00B63E0B" w:rsidRPr="00A64BC5" w:rsidRDefault="00B80915" w:rsidP="00A64BC5">
            <w:pPr>
              <w:jc w:val="right"/>
              <w:rPr>
                <w:rFonts w:ascii="Avenir Next LT Pro" w:hAnsi="Avenir Next LT Pro" w:cs="Calibri"/>
                <w:color w:val="000000"/>
                <w:sz w:val="22"/>
                <w:szCs w:val="22"/>
              </w:rPr>
            </w:pPr>
            <w:r>
              <w:rPr>
                <w:rFonts w:ascii="Avenir Next LT Pro" w:hAnsi="Avenir Next LT Pro" w:cs="Calibri"/>
                <w:color w:val="000000"/>
                <w:sz w:val="22"/>
                <w:szCs w:val="22"/>
              </w:rPr>
              <w:t>5</w:t>
            </w:r>
            <w:r w:rsidR="008F4805">
              <w:rPr>
                <w:rFonts w:ascii="Avenir Next LT Pro" w:hAnsi="Avenir Next LT Pro" w:cs="Calibri"/>
                <w:color w:val="000000"/>
                <w:sz w:val="22"/>
                <w:szCs w:val="22"/>
              </w:rPr>
              <w:t>6</w:t>
            </w:r>
          </w:p>
        </w:tc>
        <w:tc>
          <w:tcPr>
            <w:tcW w:w="1701" w:type="dxa"/>
            <w:shd w:val="clear" w:color="auto" w:fill="B2A1C7" w:themeFill="accent4" w:themeFillTint="99"/>
          </w:tcPr>
          <w:p w14:paraId="29C90B41" w14:textId="23AECF9A" w:rsidR="00B63E0B" w:rsidRPr="00A64BC5" w:rsidRDefault="008F4805" w:rsidP="00A64BC5">
            <w:pPr>
              <w:jc w:val="right"/>
              <w:rPr>
                <w:rFonts w:ascii="Avenir Next LT Pro" w:hAnsi="Avenir Next LT Pro" w:cs="Calibri"/>
                <w:color w:val="000000"/>
                <w:sz w:val="22"/>
                <w:szCs w:val="22"/>
              </w:rPr>
            </w:pPr>
            <w:r>
              <w:rPr>
                <w:rFonts w:ascii="Avenir Next LT Pro" w:hAnsi="Avenir Next LT Pro" w:cs="Calibri"/>
                <w:color w:val="000000"/>
                <w:sz w:val="22"/>
                <w:szCs w:val="22"/>
              </w:rPr>
              <w:t>33</w:t>
            </w:r>
          </w:p>
        </w:tc>
        <w:tc>
          <w:tcPr>
            <w:tcW w:w="2551" w:type="dxa"/>
            <w:shd w:val="clear" w:color="auto" w:fill="B2A1C7" w:themeFill="accent4" w:themeFillTint="99"/>
            <w:noWrap/>
          </w:tcPr>
          <w:p w14:paraId="3FE879A4" w14:textId="6B4528CC" w:rsidR="00B63E0B" w:rsidRPr="00A64BC5" w:rsidRDefault="008F4805" w:rsidP="00A64BC5">
            <w:pPr>
              <w:jc w:val="right"/>
              <w:rPr>
                <w:rFonts w:ascii="Avenir Next LT Pro" w:hAnsi="Avenir Next LT Pro" w:cs="Calibri"/>
                <w:color w:val="000000"/>
                <w:sz w:val="22"/>
                <w:szCs w:val="22"/>
              </w:rPr>
            </w:pPr>
            <w:r>
              <w:rPr>
                <w:rFonts w:ascii="Avenir Next LT Pro" w:hAnsi="Avenir Next LT Pro" w:cs="Calibri"/>
                <w:color w:val="000000"/>
                <w:sz w:val="22"/>
                <w:szCs w:val="22"/>
              </w:rPr>
              <w:t>21</w:t>
            </w:r>
          </w:p>
        </w:tc>
      </w:tr>
    </w:tbl>
    <w:p w14:paraId="0C8D8990" w14:textId="77777777" w:rsidR="002F711E" w:rsidRDefault="002F711E" w:rsidP="00426678">
      <w:pPr>
        <w:jc w:val="both"/>
        <w:rPr>
          <w:rFonts w:ascii="Arial" w:hAnsi="Arial" w:cs="Arial"/>
          <w:b/>
        </w:rPr>
      </w:pPr>
    </w:p>
    <w:p w14:paraId="2CE31D33" w14:textId="1DB069D0" w:rsidR="002F711E" w:rsidRDefault="002F711E" w:rsidP="00426678">
      <w:pPr>
        <w:jc w:val="both"/>
        <w:rPr>
          <w:rFonts w:ascii="Arial" w:hAnsi="Arial" w:cs="Arial"/>
          <w:b/>
        </w:rPr>
      </w:pPr>
    </w:p>
    <w:p w14:paraId="1FE3F6BC" w14:textId="77777777" w:rsidR="002F711E" w:rsidRDefault="002F711E" w:rsidP="00426678">
      <w:pPr>
        <w:jc w:val="both"/>
        <w:rPr>
          <w:rFonts w:ascii="Arial" w:hAnsi="Arial" w:cs="Arial"/>
          <w:b/>
        </w:rPr>
      </w:pPr>
    </w:p>
    <w:p w14:paraId="077D4F89" w14:textId="77777777" w:rsidR="002F711E" w:rsidRDefault="002F711E" w:rsidP="00426678">
      <w:pPr>
        <w:jc w:val="both"/>
        <w:rPr>
          <w:rFonts w:ascii="Arial" w:hAnsi="Arial" w:cs="Arial"/>
          <w:b/>
        </w:rPr>
      </w:pPr>
    </w:p>
    <w:p w14:paraId="6D60E7F3" w14:textId="77777777" w:rsidR="00D870A4" w:rsidRDefault="00D870A4" w:rsidP="00426678">
      <w:pPr>
        <w:jc w:val="both"/>
        <w:rPr>
          <w:rFonts w:ascii="Arial" w:hAnsi="Arial" w:cs="Arial"/>
          <w:b/>
        </w:rPr>
      </w:pPr>
    </w:p>
    <w:p w14:paraId="39AF436C" w14:textId="77777777" w:rsidR="00D870A4" w:rsidRDefault="00D870A4" w:rsidP="00D870A4">
      <w:r>
        <w:br w:type="page"/>
      </w:r>
    </w:p>
    <w:p w14:paraId="13BA60AD" w14:textId="59110334" w:rsidR="002F711E" w:rsidRPr="00715B0E" w:rsidRDefault="00DC0CC1" w:rsidP="00426678">
      <w:pPr>
        <w:jc w:val="both"/>
        <w:rPr>
          <w:rFonts w:ascii="Arial" w:hAnsi="Arial" w:cs="Arial"/>
          <w:b/>
        </w:rPr>
      </w:pPr>
      <w:r>
        <w:rPr>
          <w:rFonts w:ascii="Arial" w:hAnsi="Arial" w:cs="Arial"/>
          <w:b/>
          <w:noProof/>
        </w:rPr>
        <w:lastRenderedPageBreak/>
        <mc:AlternateContent>
          <mc:Choice Requires="wps">
            <w:drawing>
              <wp:anchor distT="0" distB="0" distL="114300" distR="114300" simplePos="0" relativeHeight="251685888" behindDoc="0" locked="0" layoutInCell="1" allowOverlap="1" wp14:anchorId="06A4BB6B" wp14:editId="36403089">
                <wp:simplePos x="0" y="0"/>
                <wp:positionH relativeFrom="column">
                  <wp:posOffset>4914900</wp:posOffset>
                </wp:positionH>
                <wp:positionV relativeFrom="paragraph">
                  <wp:posOffset>-876300</wp:posOffset>
                </wp:positionV>
                <wp:extent cx="1676400" cy="1485900"/>
                <wp:effectExtent l="0" t="0" r="19050"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6400" cy="148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AC2C5" id="Rectangle 8" o:spid="_x0000_s1026" alt="&quot;&quot;" style="position:absolute;margin-left:387pt;margin-top:-69pt;width:132pt;height:11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" fillcolor="white [3212]" strokecolor="white [3212]" strokeweight="2pt"/>
            </w:pict>
          </mc:Fallback>
        </mc:AlternateContent>
      </w:r>
      <w:r w:rsidR="00D870A4" w:rsidRPr="00D870A4">
        <w:rPr>
          <w:rFonts w:ascii="Arial" w:hAnsi="Arial" w:cs="Arial"/>
          <w:b/>
          <w:noProof/>
        </w:rPr>
        <w:drawing>
          <wp:anchor distT="0" distB="0" distL="114300" distR="114300" simplePos="0" relativeHeight="251684864" behindDoc="0" locked="0" layoutInCell="1" allowOverlap="1" wp14:anchorId="3A191B11" wp14:editId="22090768">
            <wp:simplePos x="0" y="0"/>
            <wp:positionH relativeFrom="column">
              <wp:posOffset>-349250</wp:posOffset>
            </wp:positionH>
            <wp:positionV relativeFrom="paragraph">
              <wp:posOffset>-2708910</wp:posOffset>
            </wp:positionV>
            <wp:extent cx="1352550" cy="504825"/>
            <wp:effectExtent l="0" t="0" r="0" b="952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21717" t="14615" r="6565" b="25800"/>
                    <a:stretch/>
                  </pic:blipFill>
                  <pic:spPr bwMode="auto">
                    <a:xfrm>
                      <a:off x="0" y="0"/>
                      <a:ext cx="135255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0A4" w:rsidRPr="00D870A4">
        <w:rPr>
          <w:rFonts w:ascii="Arial" w:hAnsi="Arial" w:cs="Arial"/>
          <w:b/>
          <w:noProof/>
        </w:rPr>
        <w:drawing>
          <wp:anchor distT="0" distB="0" distL="114300" distR="114300" simplePos="0" relativeHeight="251683840" behindDoc="0" locked="0" layoutInCell="1" allowOverlap="1" wp14:anchorId="04BC48A3" wp14:editId="44057FEA">
            <wp:simplePos x="0" y="0"/>
            <wp:positionH relativeFrom="column">
              <wp:posOffset>-290195</wp:posOffset>
            </wp:positionH>
            <wp:positionV relativeFrom="paragraph">
              <wp:posOffset>-3484245</wp:posOffset>
            </wp:positionV>
            <wp:extent cx="1219200" cy="371475"/>
            <wp:effectExtent l="0" t="0" r="0" b="952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219200" cy="371475"/>
                    </a:xfrm>
                    <a:prstGeom prst="rect">
                      <a:avLst/>
                    </a:prstGeom>
                  </pic:spPr>
                </pic:pic>
              </a:graphicData>
            </a:graphic>
            <wp14:sizeRelH relativeFrom="page">
              <wp14:pctWidth>0</wp14:pctWidth>
            </wp14:sizeRelH>
            <wp14:sizeRelV relativeFrom="page">
              <wp14:pctHeight>0</wp14:pctHeight>
            </wp14:sizeRelV>
          </wp:anchor>
        </w:drawing>
      </w:r>
      <w:r w:rsidR="000B7ECB">
        <w:rPr>
          <w:noProof/>
        </w:rPr>
        <w:drawing>
          <wp:anchor distT="0" distB="0" distL="114300" distR="114300" simplePos="0" relativeHeight="251681792" behindDoc="0" locked="0" layoutInCell="1" allowOverlap="1" wp14:anchorId="6BE4BA05" wp14:editId="6A668D80">
            <wp:simplePos x="0" y="0"/>
            <wp:positionH relativeFrom="column">
              <wp:posOffset>-914400</wp:posOffset>
            </wp:positionH>
            <wp:positionV relativeFrom="paragraph">
              <wp:posOffset>-899795</wp:posOffset>
            </wp:positionV>
            <wp:extent cx="7711440" cy="10677525"/>
            <wp:effectExtent l="0" t="0" r="3810" b="9525"/>
            <wp:wrapSquare wrapText="bothSides"/>
            <wp:docPr id="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t="-1172" b="3554"/>
                    <a:stretch>
                      <a:fillRect/>
                    </a:stretch>
                  </pic:blipFill>
                  <pic:spPr bwMode="auto">
                    <a:xfrm>
                      <a:off x="0" y="0"/>
                      <a:ext cx="7711440" cy="10677525"/>
                    </a:xfrm>
                    <a:prstGeom prst="rect">
                      <a:avLst/>
                    </a:prstGeom>
                    <a:noFill/>
                  </pic:spPr>
                </pic:pic>
              </a:graphicData>
            </a:graphic>
            <wp14:sizeRelH relativeFrom="page">
              <wp14:pctWidth>0</wp14:pctWidth>
            </wp14:sizeRelH>
            <wp14:sizeRelV relativeFrom="page">
              <wp14:pctHeight>0</wp14:pctHeight>
            </wp14:sizeRelV>
          </wp:anchor>
        </w:drawing>
      </w:r>
    </w:p>
    <w:sectPr w:rsidR="002F711E" w:rsidRPr="00715B0E" w:rsidSect="00AE6561">
      <w:headerReference w:type="default" r:id="rId15"/>
      <w:footerReference w:type="default" r:id="rId16"/>
      <w:pgSz w:w="11906" w:h="16838"/>
      <w:pgMar w:top="851" w:right="2408" w:bottom="28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DACC2" w14:textId="77777777" w:rsidR="00584DEB" w:rsidRDefault="00584DEB" w:rsidP="002F711E">
      <w:r>
        <w:separator/>
      </w:r>
    </w:p>
  </w:endnote>
  <w:endnote w:type="continuationSeparator" w:id="0">
    <w:p w14:paraId="26286920" w14:textId="77777777" w:rsidR="00584DEB" w:rsidRDefault="00584DEB" w:rsidP="002F7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05E7" w14:textId="77777777" w:rsidR="00663E4B" w:rsidRDefault="00663E4B">
    <w:pPr>
      <w:pStyle w:val="Footer"/>
    </w:pPr>
    <w:r>
      <w:rPr>
        <w:noProof/>
      </w:rPr>
      <w:drawing>
        <wp:anchor distT="0" distB="0" distL="114300" distR="114300" simplePos="0" relativeHeight="251658240" behindDoc="1" locked="0" layoutInCell="1" allowOverlap="1" wp14:anchorId="4745AE52" wp14:editId="49B070B9">
          <wp:simplePos x="0" y="0"/>
          <wp:positionH relativeFrom="column">
            <wp:posOffset>-914400</wp:posOffset>
          </wp:positionH>
          <wp:positionV relativeFrom="paragraph">
            <wp:posOffset>-1831340</wp:posOffset>
          </wp:positionV>
          <wp:extent cx="7607300" cy="2449656"/>
          <wp:effectExtent l="0" t="0" r="0" b="825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2632" b="4588"/>
                  <a:stretch/>
                </pic:blipFill>
                <pic:spPr bwMode="auto">
                  <a:xfrm>
                    <a:off x="0" y="0"/>
                    <a:ext cx="7610475" cy="2450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95875" w14:textId="77777777" w:rsidR="00584DEB" w:rsidRDefault="00584DEB" w:rsidP="002F711E">
      <w:r>
        <w:separator/>
      </w:r>
    </w:p>
  </w:footnote>
  <w:footnote w:type="continuationSeparator" w:id="0">
    <w:p w14:paraId="3594AC75" w14:textId="77777777" w:rsidR="00584DEB" w:rsidRDefault="00584DEB" w:rsidP="002F7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4A32" w14:textId="77777777" w:rsidR="00663E4B" w:rsidRDefault="00663E4B">
    <w:pPr>
      <w:pStyle w:val="Header"/>
    </w:pPr>
    <w:r>
      <w:rPr>
        <w:noProof/>
      </w:rPr>
      <w:drawing>
        <wp:anchor distT="0" distB="0" distL="114300" distR="114300" simplePos="0" relativeHeight="251659264" behindDoc="1" locked="0" layoutInCell="1" allowOverlap="1" wp14:anchorId="1944D01C" wp14:editId="2226E874">
          <wp:simplePos x="0" y="0"/>
          <wp:positionH relativeFrom="column">
            <wp:posOffset>2590800</wp:posOffset>
          </wp:positionH>
          <wp:positionV relativeFrom="paragraph">
            <wp:posOffset>-449580</wp:posOffset>
          </wp:positionV>
          <wp:extent cx="4044950" cy="128183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77586"/>
                  <a:stretch/>
                </pic:blipFill>
                <pic:spPr bwMode="auto">
                  <a:xfrm>
                    <a:off x="0" y="0"/>
                    <a:ext cx="4044950" cy="128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664CDA"/>
    <w:multiLevelType w:val="hybridMultilevel"/>
    <w:tmpl w:val="8B48AFC8"/>
    <w:lvl w:ilvl="0" w:tplc="42C4BEE2">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540552"/>
    <w:multiLevelType w:val="hybridMultilevel"/>
    <w:tmpl w:val="B72A61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BA43CB"/>
    <w:multiLevelType w:val="hybridMultilevel"/>
    <w:tmpl w:val="9B14E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C31583"/>
    <w:multiLevelType w:val="hybridMultilevel"/>
    <w:tmpl w:val="D5747534"/>
    <w:lvl w:ilvl="0" w:tplc="707E2DC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040133"/>
    <w:multiLevelType w:val="hybridMultilevel"/>
    <w:tmpl w:val="6AF6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D94724"/>
    <w:multiLevelType w:val="hybridMultilevel"/>
    <w:tmpl w:val="F13AF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4D24F6"/>
    <w:multiLevelType w:val="hybridMultilevel"/>
    <w:tmpl w:val="5BCE3F7C"/>
    <w:lvl w:ilvl="0" w:tplc="05AAB5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3842097">
    <w:abstractNumId w:val="4"/>
  </w:num>
  <w:num w:numId="2" w16cid:durableId="287012269">
    <w:abstractNumId w:val="6"/>
  </w:num>
  <w:num w:numId="3" w16cid:durableId="209465612">
    <w:abstractNumId w:val="3"/>
  </w:num>
  <w:num w:numId="4" w16cid:durableId="681396673">
    <w:abstractNumId w:val="5"/>
  </w:num>
  <w:num w:numId="5" w16cid:durableId="50350114">
    <w:abstractNumId w:val="2"/>
  </w:num>
  <w:num w:numId="6" w16cid:durableId="673537737">
    <w:abstractNumId w:val="1"/>
  </w:num>
  <w:num w:numId="7" w16cid:durableId="291064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91C"/>
    <w:rsid w:val="000B7ECB"/>
    <w:rsid w:val="000D57B5"/>
    <w:rsid w:val="001607E0"/>
    <w:rsid w:val="001858C5"/>
    <w:rsid w:val="001D0A3B"/>
    <w:rsid w:val="001D467F"/>
    <w:rsid w:val="00207A90"/>
    <w:rsid w:val="00273894"/>
    <w:rsid w:val="0027640E"/>
    <w:rsid w:val="002B4F21"/>
    <w:rsid w:val="002F711E"/>
    <w:rsid w:val="00307232"/>
    <w:rsid w:val="003500A4"/>
    <w:rsid w:val="003877D4"/>
    <w:rsid w:val="00425A8A"/>
    <w:rsid w:val="00426678"/>
    <w:rsid w:val="004E6993"/>
    <w:rsid w:val="005572B7"/>
    <w:rsid w:val="00584DEB"/>
    <w:rsid w:val="005D207B"/>
    <w:rsid w:val="005F3826"/>
    <w:rsid w:val="005F791C"/>
    <w:rsid w:val="00630E25"/>
    <w:rsid w:val="00635E51"/>
    <w:rsid w:val="00637480"/>
    <w:rsid w:val="00640DF4"/>
    <w:rsid w:val="00663E4B"/>
    <w:rsid w:val="006711C3"/>
    <w:rsid w:val="00686EEC"/>
    <w:rsid w:val="00715B0E"/>
    <w:rsid w:val="0072206B"/>
    <w:rsid w:val="007245B7"/>
    <w:rsid w:val="00791351"/>
    <w:rsid w:val="0079478C"/>
    <w:rsid w:val="007B7354"/>
    <w:rsid w:val="00831E22"/>
    <w:rsid w:val="00835D89"/>
    <w:rsid w:val="0085549A"/>
    <w:rsid w:val="008A3D58"/>
    <w:rsid w:val="008F0640"/>
    <w:rsid w:val="008F2D0E"/>
    <w:rsid w:val="008F4805"/>
    <w:rsid w:val="009261EB"/>
    <w:rsid w:val="00936E96"/>
    <w:rsid w:val="0095462E"/>
    <w:rsid w:val="00997EE2"/>
    <w:rsid w:val="009B4543"/>
    <w:rsid w:val="00A32A93"/>
    <w:rsid w:val="00A52C07"/>
    <w:rsid w:val="00A622E5"/>
    <w:rsid w:val="00A64BC5"/>
    <w:rsid w:val="00A71B56"/>
    <w:rsid w:val="00AE6561"/>
    <w:rsid w:val="00AF65F6"/>
    <w:rsid w:val="00B63E0B"/>
    <w:rsid w:val="00B80915"/>
    <w:rsid w:val="00C27180"/>
    <w:rsid w:val="00C7506A"/>
    <w:rsid w:val="00C93E5F"/>
    <w:rsid w:val="00CB5CDE"/>
    <w:rsid w:val="00CB7ABB"/>
    <w:rsid w:val="00CD565E"/>
    <w:rsid w:val="00D52C94"/>
    <w:rsid w:val="00D870A4"/>
    <w:rsid w:val="00DB24EB"/>
    <w:rsid w:val="00DC0CC1"/>
    <w:rsid w:val="00DF7A5C"/>
    <w:rsid w:val="00E60BAD"/>
    <w:rsid w:val="00EC6E49"/>
    <w:rsid w:val="00F14294"/>
    <w:rsid w:val="00F27362"/>
    <w:rsid w:val="00F27BE8"/>
    <w:rsid w:val="00F64B92"/>
    <w:rsid w:val="00FE4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E5424A"/>
  <w15:docId w15:val="{402C7E9F-7407-408F-8900-5DB70371B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64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266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66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B5CD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91C"/>
    <w:pPr>
      <w:ind w:left="720"/>
      <w:contextualSpacing/>
    </w:pPr>
  </w:style>
  <w:style w:type="character" w:styleId="Hyperlink">
    <w:name w:val="Hyperlink"/>
    <w:basedOn w:val="DefaultParagraphFont"/>
    <w:uiPriority w:val="99"/>
    <w:unhideWhenUsed/>
    <w:rsid w:val="003500A4"/>
    <w:rPr>
      <w:color w:val="0000FF" w:themeColor="hyperlink"/>
      <w:u w:val="single"/>
    </w:rPr>
  </w:style>
  <w:style w:type="paragraph" w:styleId="PlainText">
    <w:name w:val="Plain Text"/>
    <w:basedOn w:val="Normal"/>
    <w:link w:val="PlainTextChar"/>
    <w:uiPriority w:val="99"/>
    <w:semiHidden/>
    <w:unhideWhenUsed/>
    <w:rsid w:val="00E60BAD"/>
    <w:rPr>
      <w:rFonts w:ascii="Calibri" w:hAnsi="Calibri"/>
      <w:szCs w:val="21"/>
    </w:rPr>
  </w:style>
  <w:style w:type="character" w:customStyle="1" w:styleId="PlainTextChar">
    <w:name w:val="Plain Text Char"/>
    <w:basedOn w:val="DefaultParagraphFont"/>
    <w:link w:val="PlainText"/>
    <w:uiPriority w:val="99"/>
    <w:semiHidden/>
    <w:rsid w:val="00E60BAD"/>
    <w:rPr>
      <w:rFonts w:ascii="Calibri" w:hAnsi="Calibri"/>
      <w:szCs w:val="21"/>
    </w:rPr>
  </w:style>
  <w:style w:type="character" w:styleId="CommentReference">
    <w:name w:val="annotation reference"/>
    <w:basedOn w:val="DefaultParagraphFont"/>
    <w:uiPriority w:val="99"/>
    <w:semiHidden/>
    <w:unhideWhenUsed/>
    <w:rsid w:val="00635E51"/>
    <w:rPr>
      <w:sz w:val="16"/>
      <w:szCs w:val="16"/>
    </w:rPr>
  </w:style>
  <w:style w:type="paragraph" w:styleId="CommentText">
    <w:name w:val="annotation text"/>
    <w:basedOn w:val="Normal"/>
    <w:link w:val="CommentTextChar"/>
    <w:uiPriority w:val="99"/>
    <w:semiHidden/>
    <w:unhideWhenUsed/>
    <w:rsid w:val="00635E51"/>
    <w:rPr>
      <w:sz w:val="20"/>
      <w:szCs w:val="20"/>
    </w:rPr>
  </w:style>
  <w:style w:type="character" w:customStyle="1" w:styleId="CommentTextChar">
    <w:name w:val="Comment Text Char"/>
    <w:basedOn w:val="DefaultParagraphFont"/>
    <w:link w:val="CommentText"/>
    <w:uiPriority w:val="99"/>
    <w:semiHidden/>
    <w:rsid w:val="00635E5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35E51"/>
    <w:rPr>
      <w:b/>
      <w:bCs/>
    </w:rPr>
  </w:style>
  <w:style w:type="character" w:customStyle="1" w:styleId="CommentSubjectChar">
    <w:name w:val="Comment Subject Char"/>
    <w:basedOn w:val="CommentTextChar"/>
    <w:link w:val="CommentSubject"/>
    <w:uiPriority w:val="99"/>
    <w:semiHidden/>
    <w:rsid w:val="00635E51"/>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35E51"/>
    <w:rPr>
      <w:rFonts w:ascii="Tahoma" w:hAnsi="Tahoma" w:cs="Tahoma"/>
      <w:sz w:val="16"/>
      <w:szCs w:val="16"/>
    </w:rPr>
  </w:style>
  <w:style w:type="character" w:customStyle="1" w:styleId="BalloonTextChar">
    <w:name w:val="Balloon Text Char"/>
    <w:basedOn w:val="DefaultParagraphFont"/>
    <w:link w:val="BalloonText"/>
    <w:uiPriority w:val="99"/>
    <w:semiHidden/>
    <w:rsid w:val="00635E51"/>
    <w:rPr>
      <w:rFonts w:ascii="Tahoma" w:eastAsia="Times New Roman" w:hAnsi="Tahoma" w:cs="Tahoma"/>
      <w:sz w:val="16"/>
      <w:szCs w:val="16"/>
      <w:lang w:eastAsia="en-GB"/>
    </w:rPr>
  </w:style>
  <w:style w:type="table" w:styleId="TableGrid">
    <w:name w:val="Table Grid"/>
    <w:basedOn w:val="TableNormal"/>
    <w:uiPriority w:val="59"/>
    <w:rsid w:val="0072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6678"/>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426678"/>
    <w:rPr>
      <w:rFonts w:asciiTheme="majorHAnsi" w:eastAsiaTheme="majorEastAsia" w:hAnsiTheme="majorHAnsi" w:cstheme="majorBidi"/>
      <w:b/>
      <w:bCs/>
      <w:color w:val="4F81BD" w:themeColor="accent1"/>
      <w:sz w:val="26"/>
      <w:szCs w:val="26"/>
      <w:lang w:eastAsia="en-GB"/>
    </w:rPr>
  </w:style>
  <w:style w:type="character" w:styleId="FollowedHyperlink">
    <w:name w:val="FollowedHyperlink"/>
    <w:basedOn w:val="DefaultParagraphFont"/>
    <w:uiPriority w:val="99"/>
    <w:semiHidden/>
    <w:unhideWhenUsed/>
    <w:rsid w:val="00426678"/>
    <w:rPr>
      <w:color w:val="800080" w:themeColor="followedHyperlink"/>
      <w:u w:val="single"/>
    </w:rPr>
  </w:style>
  <w:style w:type="paragraph" w:styleId="Header">
    <w:name w:val="header"/>
    <w:basedOn w:val="Normal"/>
    <w:link w:val="HeaderChar"/>
    <w:uiPriority w:val="99"/>
    <w:unhideWhenUsed/>
    <w:rsid w:val="002F711E"/>
    <w:pPr>
      <w:tabs>
        <w:tab w:val="center" w:pos="4513"/>
        <w:tab w:val="right" w:pos="9026"/>
      </w:tabs>
    </w:pPr>
  </w:style>
  <w:style w:type="character" w:customStyle="1" w:styleId="HeaderChar">
    <w:name w:val="Header Char"/>
    <w:basedOn w:val="DefaultParagraphFont"/>
    <w:link w:val="Header"/>
    <w:uiPriority w:val="99"/>
    <w:rsid w:val="002F711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F711E"/>
    <w:pPr>
      <w:tabs>
        <w:tab w:val="center" w:pos="4513"/>
        <w:tab w:val="right" w:pos="9026"/>
      </w:tabs>
    </w:pPr>
  </w:style>
  <w:style w:type="character" w:customStyle="1" w:styleId="FooterChar">
    <w:name w:val="Footer Char"/>
    <w:basedOn w:val="DefaultParagraphFont"/>
    <w:link w:val="Footer"/>
    <w:uiPriority w:val="99"/>
    <w:rsid w:val="002F711E"/>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semiHidden/>
    <w:unhideWhenUsed/>
    <w:qFormat/>
    <w:rsid w:val="002B4F21"/>
    <w:pPr>
      <w:spacing w:line="276" w:lineRule="auto"/>
      <w:outlineLvl w:val="9"/>
    </w:pPr>
    <w:rPr>
      <w:lang w:val="en-US" w:eastAsia="ja-JP"/>
    </w:rPr>
  </w:style>
  <w:style w:type="paragraph" w:styleId="TOC1">
    <w:name w:val="toc 1"/>
    <w:basedOn w:val="Normal"/>
    <w:next w:val="Normal"/>
    <w:autoRedefine/>
    <w:uiPriority w:val="39"/>
    <w:unhideWhenUsed/>
    <w:rsid w:val="002B4F21"/>
    <w:pPr>
      <w:spacing w:after="100"/>
    </w:pPr>
  </w:style>
  <w:style w:type="character" w:styleId="UnresolvedMention">
    <w:name w:val="Unresolved Mention"/>
    <w:basedOn w:val="DefaultParagraphFont"/>
    <w:uiPriority w:val="99"/>
    <w:semiHidden/>
    <w:unhideWhenUsed/>
    <w:rsid w:val="00DC0CC1"/>
    <w:rPr>
      <w:color w:val="605E5C"/>
      <w:shd w:val="clear" w:color="auto" w:fill="E1DFDD"/>
    </w:rPr>
  </w:style>
  <w:style w:type="character" w:customStyle="1" w:styleId="Heading3Char">
    <w:name w:val="Heading 3 Char"/>
    <w:basedOn w:val="DefaultParagraphFont"/>
    <w:link w:val="Heading3"/>
    <w:uiPriority w:val="9"/>
    <w:semiHidden/>
    <w:rsid w:val="00CB5CDE"/>
    <w:rPr>
      <w:rFonts w:asciiTheme="majorHAnsi" w:eastAsiaTheme="majorEastAsia" w:hAnsiTheme="majorHAnsi" w:cstheme="majorBidi"/>
      <w:color w:val="243F60" w:themeColor="accent1" w:themeShade="7F"/>
      <w:sz w:val="24"/>
      <w:szCs w:val="24"/>
      <w:lang w:eastAsia="en-GB"/>
    </w:rPr>
  </w:style>
  <w:style w:type="table" w:styleId="TableGridLight">
    <w:name w:val="Grid Table Light"/>
    <w:basedOn w:val="TableNormal"/>
    <w:uiPriority w:val="40"/>
    <w:rsid w:val="00CB5C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96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endlocaloffer.nelincs.gov.uk/home/parents-and-carers/access-pathway/" TargetMode="Externa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D5986-ED05-46EC-B6FD-50D1DC57F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King (NELC)</dc:creator>
  <cp:lastModifiedBy>Amy Chilvers (NELC)</cp:lastModifiedBy>
  <cp:revision>12</cp:revision>
  <cp:lastPrinted>2021-06-14T16:04:00Z</cp:lastPrinted>
  <dcterms:created xsi:type="dcterms:W3CDTF">2022-08-18T15:22:00Z</dcterms:created>
  <dcterms:modified xsi:type="dcterms:W3CDTF">2023-05-15T12:37:00Z</dcterms:modified>
</cp:coreProperties>
</file>