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rPr>
        <w:id w:val="-949081385"/>
        <w:docPartObj>
          <w:docPartGallery w:val="Cover Pages"/>
          <w:docPartUnique/>
        </w:docPartObj>
      </w:sdtPr>
      <w:sdtEndPr/>
      <w:sdtContent>
        <w:p w14:paraId="472C19F1" w14:textId="7C5854BC" w:rsidR="0074021B" w:rsidRPr="0089733E" w:rsidRDefault="0074021B" w:rsidP="00847DE9">
          <w:pPr>
            <w:spacing w:before="0" w:after="0"/>
            <w:jc w:val="both"/>
            <w:rPr>
              <w:rFonts w:ascii="Arial" w:hAnsi="Arial" w:cs="Arial"/>
              <w:sz w:val="24"/>
            </w:rPr>
          </w:pPr>
          <w:r w:rsidRPr="0089733E">
            <w:rPr>
              <w:rFonts w:ascii="Arial" w:hAnsi="Arial" w:cs="Arial"/>
              <w:noProof/>
              <w:sz w:val="24"/>
            </w:rPr>
            <mc:AlternateContent>
              <mc:Choice Requires="wpg">
                <w:drawing>
                  <wp:anchor distT="0" distB="0" distL="114300" distR="114300" simplePos="0" relativeHeight="251692544" behindDoc="1" locked="0" layoutInCell="1" allowOverlap="1" wp14:anchorId="01EC0DF8" wp14:editId="308FC5DC">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72704A12"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A60F6F">
                                    <w:rPr>
                                      <w:rFonts w:asciiTheme="majorHAnsi" w:eastAsiaTheme="majorEastAsia" w:hAnsiTheme="majorHAnsi" w:cstheme="majorBidi"/>
                                      <w:caps/>
                                      <w:sz w:val="52"/>
                                      <w:szCs w:val="52"/>
                                    </w:rPr>
                                    <w:t>7</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w:t>
                                      </w:r>
                                      <w:r w:rsidR="00A60F6F">
                                        <w:rPr>
                                          <w:rFonts w:asciiTheme="majorHAnsi" w:eastAsiaTheme="majorEastAsia" w:hAnsiTheme="majorHAnsi" w:cstheme="majorBidi"/>
                                          <w:caps/>
                                          <w:sz w:val="52"/>
                                          <w:szCs w:val="52"/>
                                        </w:rPr>
                                        <w:t xml:space="preserve"> decision</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left:0;text-align:left;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72704A12"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A60F6F">
                              <w:rPr>
                                <w:rFonts w:asciiTheme="majorHAnsi" w:eastAsiaTheme="majorEastAsia" w:hAnsiTheme="majorHAnsi" w:cstheme="majorBidi"/>
                                <w:caps/>
                                <w:sz w:val="52"/>
                                <w:szCs w:val="52"/>
                              </w:rPr>
                              <w:t>7</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w:t>
                                </w:r>
                                <w:r w:rsidR="00A60F6F">
                                  <w:rPr>
                                    <w:rFonts w:asciiTheme="majorHAnsi" w:eastAsiaTheme="majorEastAsia" w:hAnsiTheme="majorHAnsi" w:cstheme="majorBidi"/>
                                    <w:caps/>
                                    <w:sz w:val="52"/>
                                    <w:szCs w:val="52"/>
                                  </w:rPr>
                                  <w:t xml:space="preserve"> decision</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0AEED6CF" w14:textId="77777777" w:rsidR="0030068A" w:rsidRPr="0089733E" w:rsidRDefault="0074021B" w:rsidP="00847DE9">
          <w:pPr>
            <w:pStyle w:val="Mainheadline"/>
            <w:spacing w:before="0" w:after="0"/>
            <w:jc w:val="both"/>
            <w:rPr>
              <w:rFonts w:ascii="Arial" w:hAnsi="Arial" w:cs="Arial"/>
              <w:color w:val="auto"/>
              <w:sz w:val="24"/>
              <w:szCs w:val="24"/>
            </w:rPr>
          </w:pPr>
          <w:r w:rsidRPr="0089733E">
            <w:rPr>
              <w:rFonts w:ascii="Arial" w:hAnsi="Arial" w:cs="Arial"/>
              <w:sz w:val="24"/>
              <w:szCs w:val="24"/>
            </w:rPr>
            <w:br w:type="page"/>
          </w:r>
          <w:bookmarkStart w:id="0" w:name="_Toc88556607"/>
          <w:r w:rsidR="0030068A" w:rsidRPr="0089733E">
            <w:rPr>
              <w:rFonts w:ascii="Arial" w:hAnsi="Arial" w:cs="Arial"/>
              <w:color w:val="auto"/>
              <w:sz w:val="24"/>
              <w:szCs w:val="24"/>
            </w:rPr>
            <w:lastRenderedPageBreak/>
            <w:t>Decision</w:t>
          </w:r>
          <w:bookmarkEnd w:id="0"/>
        </w:p>
        <w:p w14:paraId="07B37900" w14:textId="342D6E9F" w:rsidR="0030068A" w:rsidRDefault="0030068A" w:rsidP="00847DE9">
          <w:pPr>
            <w:spacing w:before="0" w:after="0"/>
            <w:jc w:val="both"/>
            <w:rPr>
              <w:rFonts w:ascii="Arial" w:hAnsi="Arial" w:cs="Arial"/>
              <w:sz w:val="24"/>
            </w:rPr>
          </w:pPr>
          <w:r w:rsidRPr="0089733E">
            <w:rPr>
              <w:rFonts w:ascii="Arial" w:hAnsi="Arial" w:cs="Arial"/>
              <w:sz w:val="24"/>
            </w:rPr>
            <w:t>Once the decision has been made, you will receive an email indicating this:</w:t>
          </w:r>
        </w:p>
        <w:p w14:paraId="4DF996B6" w14:textId="77777777" w:rsidR="00847DE9" w:rsidRPr="0089733E" w:rsidRDefault="00847DE9" w:rsidP="00847DE9">
          <w:pPr>
            <w:spacing w:before="0" w:after="0"/>
            <w:jc w:val="both"/>
            <w:rPr>
              <w:rFonts w:ascii="Arial" w:hAnsi="Arial" w:cs="Arial"/>
              <w:sz w:val="24"/>
            </w:rPr>
          </w:pPr>
        </w:p>
        <w:p w14:paraId="57358D98" w14:textId="14DC5B6D" w:rsidR="00847DE9" w:rsidRDefault="00847DE9" w:rsidP="00847DE9">
          <w:pPr>
            <w:spacing w:before="0" w:after="0"/>
            <w:jc w:val="center"/>
            <w:rPr>
              <w:rFonts w:ascii="Arial" w:hAnsi="Arial" w:cs="Arial"/>
              <w:sz w:val="24"/>
            </w:rPr>
          </w:pPr>
          <w:r w:rsidRPr="0089733E">
            <w:rPr>
              <w:rFonts w:ascii="Arial" w:hAnsi="Arial" w:cs="Arial"/>
              <w:noProof/>
              <w:sz w:val="24"/>
            </w:rPr>
            <w:drawing>
              <wp:inline distT="0" distB="0" distL="0" distR="0" wp14:anchorId="64AC2C9A" wp14:editId="2121C48C">
                <wp:extent cx="5816600" cy="1623060"/>
                <wp:effectExtent l="19050" t="19050" r="12700" b="15240"/>
                <wp:docPr id="423" name="Picture 423" descr="screenshot of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Picture 423" descr="screenshot of email"/>
                        <pic:cNvPicPr/>
                      </pic:nvPicPr>
                      <pic:blipFill>
                        <a:blip r:embed="rId7"/>
                        <a:stretch>
                          <a:fillRect/>
                        </a:stretch>
                      </pic:blipFill>
                      <pic:spPr>
                        <a:xfrm>
                          <a:off x="0" y="0"/>
                          <a:ext cx="5835472" cy="1628326"/>
                        </a:xfrm>
                        <a:prstGeom prst="rect">
                          <a:avLst/>
                        </a:prstGeom>
                        <a:ln>
                          <a:solidFill>
                            <a:schemeClr val="tx1"/>
                          </a:solidFill>
                        </a:ln>
                      </pic:spPr>
                    </pic:pic>
                  </a:graphicData>
                </a:graphic>
              </wp:inline>
            </w:drawing>
          </w:r>
        </w:p>
        <w:p w14:paraId="15F9062D" w14:textId="77777777" w:rsidR="00847DE9" w:rsidRDefault="00847DE9" w:rsidP="00847DE9">
          <w:pPr>
            <w:spacing w:before="0" w:after="0"/>
            <w:jc w:val="both"/>
            <w:rPr>
              <w:rFonts w:ascii="Arial" w:hAnsi="Arial" w:cs="Arial"/>
              <w:sz w:val="24"/>
            </w:rPr>
          </w:pPr>
        </w:p>
        <w:p w14:paraId="26F44651" w14:textId="73C63555" w:rsidR="0030068A" w:rsidRDefault="0030068A" w:rsidP="00847DE9">
          <w:pPr>
            <w:spacing w:before="0" w:after="0"/>
            <w:jc w:val="both"/>
            <w:rPr>
              <w:rFonts w:ascii="Arial" w:hAnsi="Arial" w:cs="Arial"/>
              <w:sz w:val="24"/>
            </w:rPr>
          </w:pPr>
          <w:r w:rsidRPr="0089733E">
            <w:rPr>
              <w:rFonts w:ascii="Arial" w:hAnsi="Arial" w:cs="Arial"/>
              <w:sz w:val="24"/>
            </w:rPr>
            <w:t>When you log into the Hub, the status of the case file will have changed to reflect this:</w:t>
          </w:r>
        </w:p>
        <w:p w14:paraId="762801D3" w14:textId="77777777" w:rsidR="00847DE9" w:rsidRPr="0089733E" w:rsidRDefault="00847DE9" w:rsidP="00847DE9">
          <w:pPr>
            <w:spacing w:before="0" w:after="0"/>
            <w:jc w:val="both"/>
            <w:rPr>
              <w:rFonts w:ascii="Arial" w:hAnsi="Arial" w:cs="Arial"/>
              <w:sz w:val="24"/>
            </w:rPr>
          </w:pPr>
        </w:p>
        <w:p w14:paraId="043A6B45" w14:textId="0BCDFFF3" w:rsidR="0030068A" w:rsidRPr="0089733E" w:rsidRDefault="0030068A" w:rsidP="00847DE9">
          <w:pPr>
            <w:spacing w:before="0" w:after="0"/>
            <w:jc w:val="center"/>
            <w:rPr>
              <w:rFonts w:ascii="Arial" w:hAnsi="Arial" w:cs="Arial"/>
              <w:sz w:val="24"/>
            </w:rPr>
          </w:pPr>
          <w:r w:rsidRPr="0089733E">
            <w:rPr>
              <w:rFonts w:ascii="Arial" w:hAnsi="Arial" w:cs="Arial"/>
              <w:noProof/>
              <w:sz w:val="24"/>
            </w:rPr>
            <w:drawing>
              <wp:inline distT="0" distB="0" distL="0" distR="0" wp14:anchorId="4A80332B" wp14:editId="4F160B81">
                <wp:extent cx="5854700" cy="1587500"/>
                <wp:effectExtent l="19050" t="19050" r="12700" b="12700"/>
                <wp:docPr id="424" name="Picture 424" descr="screenshot of status of file as assessment in pro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Picture 424" descr="screenshot of status of file as assessment in progress"/>
                        <pic:cNvPicPr/>
                      </pic:nvPicPr>
                      <pic:blipFill>
                        <a:blip r:embed="rId8"/>
                        <a:stretch>
                          <a:fillRect/>
                        </a:stretch>
                      </pic:blipFill>
                      <pic:spPr>
                        <a:xfrm>
                          <a:off x="0" y="0"/>
                          <a:ext cx="5901925" cy="1600305"/>
                        </a:xfrm>
                        <a:prstGeom prst="rect">
                          <a:avLst/>
                        </a:prstGeom>
                        <a:ln>
                          <a:solidFill>
                            <a:schemeClr val="tx1"/>
                          </a:solidFill>
                        </a:ln>
                      </pic:spPr>
                    </pic:pic>
                  </a:graphicData>
                </a:graphic>
              </wp:inline>
            </w:drawing>
          </w:r>
        </w:p>
        <w:p w14:paraId="3B5C7E04" w14:textId="77777777" w:rsidR="00847DE9" w:rsidRDefault="00847DE9" w:rsidP="00847DE9">
          <w:pPr>
            <w:spacing w:before="0" w:after="0"/>
            <w:jc w:val="both"/>
            <w:rPr>
              <w:rFonts w:ascii="Arial" w:hAnsi="Arial" w:cs="Arial"/>
              <w:sz w:val="24"/>
            </w:rPr>
          </w:pPr>
        </w:p>
        <w:p w14:paraId="21A07419" w14:textId="77777777" w:rsidR="00847DE9" w:rsidRDefault="0030068A" w:rsidP="00847DE9">
          <w:pPr>
            <w:spacing w:before="0" w:after="0"/>
            <w:jc w:val="both"/>
            <w:rPr>
              <w:rFonts w:ascii="Arial" w:hAnsi="Arial" w:cs="Arial"/>
              <w:sz w:val="24"/>
            </w:rPr>
          </w:pPr>
          <w:r w:rsidRPr="0089733E">
            <w:rPr>
              <w:rFonts w:ascii="Arial" w:hAnsi="Arial" w:cs="Arial"/>
              <w:sz w:val="24"/>
            </w:rPr>
            <w:t xml:space="preserve">If the decision was made not to proceed to an assessment, the case file will not be displayed in the My cases in progress tray as this case is no longer in progress. </w:t>
          </w:r>
          <w:r w:rsidR="00847DE9">
            <w:rPr>
              <w:rFonts w:ascii="Arial" w:hAnsi="Arial" w:cs="Arial"/>
              <w:sz w:val="24"/>
            </w:rPr>
            <w:t xml:space="preserve"> </w:t>
          </w:r>
        </w:p>
        <w:p w14:paraId="4B6CE930" w14:textId="77777777" w:rsidR="00847DE9" w:rsidRDefault="00847DE9" w:rsidP="00847DE9">
          <w:pPr>
            <w:spacing w:before="0" w:after="0"/>
            <w:jc w:val="both"/>
            <w:rPr>
              <w:rFonts w:ascii="Arial" w:hAnsi="Arial" w:cs="Arial"/>
              <w:sz w:val="24"/>
            </w:rPr>
          </w:pPr>
        </w:p>
        <w:p w14:paraId="5031E160" w14:textId="2392A266" w:rsidR="0030068A" w:rsidRPr="0089733E" w:rsidRDefault="0030068A" w:rsidP="00847DE9">
          <w:pPr>
            <w:spacing w:before="0" w:after="0"/>
            <w:jc w:val="both"/>
            <w:rPr>
              <w:rFonts w:ascii="Arial" w:hAnsi="Arial" w:cs="Arial"/>
              <w:sz w:val="24"/>
            </w:rPr>
          </w:pPr>
          <w:r w:rsidRPr="0089733E">
            <w:rPr>
              <w:rFonts w:ascii="Arial" w:hAnsi="Arial" w:cs="Arial"/>
              <w:sz w:val="24"/>
            </w:rPr>
            <w:t>To view the information select Include closed cases tick in the filter bar on the left</w:t>
          </w:r>
          <w:r w:rsidR="00847DE9">
            <w:rPr>
              <w:rFonts w:ascii="Arial" w:hAnsi="Arial" w:cs="Arial"/>
              <w:sz w:val="24"/>
            </w:rPr>
            <w:t>-</w:t>
          </w:r>
          <w:r w:rsidRPr="0089733E">
            <w:rPr>
              <w:rFonts w:ascii="Arial" w:hAnsi="Arial" w:cs="Arial"/>
              <w:sz w:val="24"/>
            </w:rPr>
            <w:t>hand side:</w:t>
          </w:r>
        </w:p>
        <w:p w14:paraId="249FF944" w14:textId="62830FF2" w:rsidR="0030068A" w:rsidRPr="0089733E" w:rsidRDefault="0030068A" w:rsidP="00847DE9">
          <w:pPr>
            <w:spacing w:before="0" w:after="0"/>
            <w:jc w:val="center"/>
            <w:rPr>
              <w:rFonts w:ascii="Arial" w:hAnsi="Arial" w:cs="Arial"/>
              <w:sz w:val="24"/>
            </w:rPr>
          </w:pPr>
          <w:r w:rsidRPr="0089733E">
            <w:rPr>
              <w:rFonts w:ascii="Arial" w:hAnsi="Arial" w:cs="Arial"/>
              <w:noProof/>
              <w:sz w:val="24"/>
            </w:rPr>
            <w:lastRenderedPageBreak/>
            <w:drawing>
              <wp:inline distT="0" distB="0" distL="0" distR="0" wp14:anchorId="558425E5" wp14:editId="3FD01C37">
                <wp:extent cx="2101660" cy="3975100"/>
                <wp:effectExtent l="19050" t="19050" r="13335" b="25400"/>
                <wp:docPr id="323" name="Picture 323" descr="Screenshot of include closed cases ti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323" descr="Screenshot of include closed cases tickbox"/>
                        <pic:cNvPicPr/>
                      </pic:nvPicPr>
                      <pic:blipFill>
                        <a:blip r:embed="rId9"/>
                        <a:stretch>
                          <a:fillRect/>
                        </a:stretch>
                      </pic:blipFill>
                      <pic:spPr>
                        <a:xfrm>
                          <a:off x="0" y="0"/>
                          <a:ext cx="2116419" cy="4003016"/>
                        </a:xfrm>
                        <a:prstGeom prst="rect">
                          <a:avLst/>
                        </a:prstGeom>
                        <a:ln>
                          <a:solidFill>
                            <a:schemeClr val="tx1"/>
                          </a:solidFill>
                        </a:ln>
                      </pic:spPr>
                    </pic:pic>
                  </a:graphicData>
                </a:graphic>
              </wp:inline>
            </w:drawing>
          </w:r>
        </w:p>
        <w:p w14:paraId="1A18C013" w14:textId="77777777" w:rsidR="00847DE9" w:rsidRDefault="00847DE9" w:rsidP="00847DE9">
          <w:pPr>
            <w:spacing w:before="0" w:after="0"/>
            <w:jc w:val="both"/>
            <w:rPr>
              <w:rFonts w:ascii="Arial" w:hAnsi="Arial" w:cs="Arial"/>
              <w:sz w:val="24"/>
            </w:rPr>
          </w:pPr>
        </w:p>
        <w:p w14:paraId="282A73EE" w14:textId="428D51FF" w:rsidR="0030068A" w:rsidRDefault="0030068A" w:rsidP="00847DE9">
          <w:pPr>
            <w:spacing w:before="0" w:after="0"/>
            <w:jc w:val="both"/>
            <w:rPr>
              <w:rFonts w:ascii="Arial" w:hAnsi="Arial" w:cs="Arial"/>
              <w:sz w:val="24"/>
            </w:rPr>
          </w:pPr>
          <w:r w:rsidRPr="0089733E">
            <w:rPr>
              <w:rFonts w:ascii="Arial" w:hAnsi="Arial" w:cs="Arial"/>
              <w:sz w:val="24"/>
            </w:rPr>
            <w:t>The case file will show a status of decision made not to assess:</w:t>
          </w:r>
        </w:p>
        <w:p w14:paraId="428F8D36" w14:textId="77777777" w:rsidR="00847DE9" w:rsidRPr="0089733E" w:rsidRDefault="00847DE9" w:rsidP="00847DE9">
          <w:pPr>
            <w:spacing w:before="0" w:after="0"/>
            <w:jc w:val="both"/>
            <w:rPr>
              <w:rFonts w:ascii="Arial" w:hAnsi="Arial" w:cs="Arial"/>
              <w:sz w:val="24"/>
            </w:rPr>
          </w:pPr>
        </w:p>
        <w:p w14:paraId="7FAE3D36" w14:textId="15232CF0" w:rsidR="0030068A" w:rsidRPr="0089733E" w:rsidRDefault="0030068A" w:rsidP="00847DE9">
          <w:pPr>
            <w:spacing w:before="0" w:after="0"/>
            <w:jc w:val="center"/>
            <w:rPr>
              <w:rFonts w:ascii="Arial" w:hAnsi="Arial" w:cs="Arial"/>
              <w:sz w:val="24"/>
            </w:rPr>
          </w:pPr>
          <w:r w:rsidRPr="0089733E">
            <w:rPr>
              <w:rFonts w:ascii="Arial" w:hAnsi="Arial" w:cs="Arial"/>
              <w:noProof/>
              <w:sz w:val="24"/>
            </w:rPr>
            <w:drawing>
              <wp:inline distT="0" distB="0" distL="0" distR="0" wp14:anchorId="1CEC9DB7" wp14:editId="4E8F5E65">
                <wp:extent cx="4572000" cy="1238054"/>
                <wp:effectExtent l="19050" t="19050" r="19050" b="19685"/>
                <wp:docPr id="426" name="Picture 426" descr="Screenshot of status of cas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Picture 426" descr="Screenshot of status of case file"/>
                        <pic:cNvPicPr/>
                      </pic:nvPicPr>
                      <pic:blipFill>
                        <a:blip r:embed="rId10"/>
                        <a:stretch>
                          <a:fillRect/>
                        </a:stretch>
                      </pic:blipFill>
                      <pic:spPr>
                        <a:xfrm>
                          <a:off x="0" y="0"/>
                          <a:ext cx="4612758" cy="1249091"/>
                        </a:xfrm>
                        <a:prstGeom prst="rect">
                          <a:avLst/>
                        </a:prstGeom>
                        <a:ln>
                          <a:solidFill>
                            <a:schemeClr val="tx1"/>
                          </a:solidFill>
                        </a:ln>
                      </pic:spPr>
                    </pic:pic>
                  </a:graphicData>
                </a:graphic>
              </wp:inline>
            </w:drawing>
          </w:r>
        </w:p>
        <w:p w14:paraId="355A6C15" w14:textId="77777777" w:rsidR="00847DE9" w:rsidRDefault="00847DE9" w:rsidP="00847DE9">
          <w:pPr>
            <w:spacing w:before="0" w:after="0"/>
            <w:jc w:val="both"/>
            <w:rPr>
              <w:rFonts w:ascii="Arial" w:hAnsi="Arial" w:cs="Arial"/>
              <w:sz w:val="24"/>
            </w:rPr>
          </w:pPr>
        </w:p>
        <w:p w14:paraId="5A6F32F5" w14:textId="4814BA79" w:rsidR="0030068A" w:rsidRDefault="0030068A" w:rsidP="00847DE9">
          <w:pPr>
            <w:spacing w:before="0" w:after="0"/>
            <w:jc w:val="both"/>
            <w:rPr>
              <w:rFonts w:ascii="Arial" w:hAnsi="Arial" w:cs="Arial"/>
              <w:sz w:val="24"/>
            </w:rPr>
          </w:pPr>
          <w:r w:rsidRPr="0089733E">
            <w:rPr>
              <w:rFonts w:ascii="Arial" w:hAnsi="Arial" w:cs="Arial"/>
              <w:sz w:val="24"/>
            </w:rPr>
            <w:t>For more information about the decision, click on the case file</w:t>
          </w:r>
          <w:r w:rsidR="00847DE9">
            <w:rPr>
              <w:rFonts w:ascii="Arial" w:hAnsi="Arial" w:cs="Arial"/>
              <w:sz w:val="24"/>
            </w:rPr>
            <w:t>.</w:t>
          </w:r>
        </w:p>
        <w:p w14:paraId="5E428B3F" w14:textId="77777777" w:rsidR="00847DE9" w:rsidRPr="0089733E" w:rsidRDefault="00847DE9" w:rsidP="00847DE9">
          <w:pPr>
            <w:spacing w:before="0" w:after="0"/>
            <w:jc w:val="both"/>
            <w:rPr>
              <w:rFonts w:ascii="Arial" w:hAnsi="Arial" w:cs="Arial"/>
              <w:sz w:val="24"/>
            </w:rPr>
          </w:pPr>
        </w:p>
        <w:p w14:paraId="7702C208" w14:textId="0AD0AD44" w:rsidR="0030068A" w:rsidRDefault="0030068A" w:rsidP="00847DE9">
          <w:pPr>
            <w:spacing w:before="0" w:after="0"/>
            <w:jc w:val="both"/>
            <w:rPr>
              <w:rFonts w:ascii="Arial" w:hAnsi="Arial" w:cs="Arial"/>
              <w:sz w:val="24"/>
            </w:rPr>
          </w:pPr>
          <w:r w:rsidRPr="0089733E">
            <w:rPr>
              <w:rFonts w:ascii="Arial" w:hAnsi="Arial" w:cs="Arial"/>
              <w:sz w:val="24"/>
            </w:rPr>
            <w:t>The reason for the decision will be displayed, and it will be possible to view a letter with details about the decision:</w:t>
          </w:r>
        </w:p>
        <w:p w14:paraId="0293D16A" w14:textId="77777777" w:rsidR="00847DE9" w:rsidRPr="0089733E" w:rsidRDefault="00847DE9" w:rsidP="00847DE9">
          <w:pPr>
            <w:spacing w:before="0" w:after="0"/>
            <w:jc w:val="both"/>
            <w:rPr>
              <w:rFonts w:ascii="Arial" w:hAnsi="Arial" w:cs="Arial"/>
              <w:sz w:val="24"/>
            </w:rPr>
          </w:pPr>
        </w:p>
        <w:p w14:paraId="3FDAB5BA" w14:textId="77777777" w:rsidR="0030068A" w:rsidRPr="0089733E" w:rsidRDefault="0030068A" w:rsidP="00847DE9">
          <w:pPr>
            <w:spacing w:before="0" w:after="0"/>
            <w:jc w:val="center"/>
            <w:rPr>
              <w:rFonts w:ascii="Arial" w:hAnsi="Arial" w:cs="Arial"/>
              <w:sz w:val="24"/>
            </w:rPr>
          </w:pPr>
          <w:r w:rsidRPr="0089733E">
            <w:rPr>
              <w:rFonts w:ascii="Arial" w:hAnsi="Arial" w:cs="Arial"/>
              <w:noProof/>
              <w:sz w:val="24"/>
            </w:rPr>
            <w:lastRenderedPageBreak/>
            <w:drawing>
              <wp:inline distT="0" distB="0" distL="0" distR="0" wp14:anchorId="75D87321" wp14:editId="48984DF1">
                <wp:extent cx="4940300" cy="2787566"/>
                <wp:effectExtent l="19050" t="19050" r="12700" b="13335"/>
                <wp:docPr id="376" name="Picture 376" descr="screenshot of reason for 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Picture 376" descr="screenshot of reason for decision"/>
                        <pic:cNvPicPr/>
                      </pic:nvPicPr>
                      <pic:blipFill>
                        <a:blip r:embed="rId11"/>
                        <a:stretch>
                          <a:fillRect/>
                        </a:stretch>
                      </pic:blipFill>
                      <pic:spPr>
                        <a:xfrm>
                          <a:off x="0" y="0"/>
                          <a:ext cx="4974818" cy="2807043"/>
                        </a:xfrm>
                        <a:prstGeom prst="rect">
                          <a:avLst/>
                        </a:prstGeom>
                        <a:ln>
                          <a:solidFill>
                            <a:sysClr val="windowText" lastClr="000000"/>
                          </a:solidFill>
                        </a:ln>
                      </pic:spPr>
                    </pic:pic>
                  </a:graphicData>
                </a:graphic>
              </wp:inline>
            </w:drawing>
          </w:r>
        </w:p>
        <w:p w14:paraId="0CC4D63A" w14:textId="77777777" w:rsidR="00847DE9" w:rsidRDefault="00847DE9" w:rsidP="00847DE9">
          <w:pPr>
            <w:spacing w:before="0" w:after="0"/>
            <w:jc w:val="both"/>
            <w:rPr>
              <w:rFonts w:ascii="Arial" w:hAnsi="Arial" w:cs="Arial"/>
              <w:sz w:val="24"/>
            </w:rPr>
          </w:pPr>
        </w:p>
        <w:p w14:paraId="447A6E1F" w14:textId="21EFDF08" w:rsidR="0030068A" w:rsidRPr="0089733E" w:rsidRDefault="00847DE9" w:rsidP="00847DE9">
          <w:pPr>
            <w:spacing w:before="0" w:after="0"/>
            <w:jc w:val="both"/>
            <w:rPr>
              <w:rFonts w:ascii="Arial" w:hAnsi="Arial" w:cs="Arial"/>
              <w:sz w:val="24"/>
            </w:rPr>
          </w:pPr>
          <w:r>
            <w:rPr>
              <w:rFonts w:ascii="Arial" w:hAnsi="Arial" w:cs="Arial"/>
              <w:sz w:val="24"/>
            </w:rPr>
            <w:t>T</w:t>
          </w:r>
          <w:r w:rsidR="0030068A" w:rsidRPr="0089733E">
            <w:rPr>
              <w:rFonts w:ascii="Arial" w:hAnsi="Arial" w:cs="Arial"/>
              <w:sz w:val="24"/>
            </w:rPr>
            <w:t>o view the letter, click the Download link and a copy can be saved to your device.</w:t>
          </w:r>
        </w:p>
        <w:p w14:paraId="7A66BDCC" w14:textId="27DF7507" w:rsidR="0074021B" w:rsidRPr="0089733E" w:rsidRDefault="00B4087F" w:rsidP="00847DE9">
          <w:pPr>
            <w:spacing w:before="0" w:after="0" w:line="276" w:lineRule="auto"/>
            <w:jc w:val="both"/>
            <w:rPr>
              <w:rFonts w:ascii="Arial" w:hAnsi="Arial" w:cs="Arial"/>
              <w:sz w:val="24"/>
            </w:rPr>
          </w:pPr>
        </w:p>
      </w:sdtContent>
    </w:sdt>
    <w:sectPr w:rsidR="0074021B" w:rsidRPr="0089733E" w:rsidSect="0074021B">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8000006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2" w15:restartNumberingAfterBreak="0">
    <w:nsid w:val="23A536BD"/>
    <w:multiLevelType w:val="hybridMultilevel"/>
    <w:tmpl w:val="45868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11A70"/>
    <w:multiLevelType w:val="hybridMultilevel"/>
    <w:tmpl w:val="C0D2E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5"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828401721">
    <w:abstractNumId w:val="20"/>
  </w:num>
  <w:num w:numId="2" w16cid:durableId="38404847">
    <w:abstractNumId w:val="7"/>
  </w:num>
  <w:num w:numId="3" w16cid:durableId="1293174409">
    <w:abstractNumId w:val="18"/>
  </w:num>
  <w:num w:numId="4" w16cid:durableId="1567450398">
    <w:abstractNumId w:val="1"/>
  </w:num>
  <w:num w:numId="5" w16cid:durableId="126364690">
    <w:abstractNumId w:val="14"/>
  </w:num>
  <w:num w:numId="6" w16cid:durableId="2112699998">
    <w:abstractNumId w:val="10"/>
  </w:num>
  <w:num w:numId="7" w16cid:durableId="1070929277">
    <w:abstractNumId w:val="19"/>
  </w:num>
  <w:num w:numId="8" w16cid:durableId="1147166233">
    <w:abstractNumId w:val="21"/>
  </w:num>
  <w:num w:numId="9" w16cid:durableId="360591218">
    <w:abstractNumId w:val="16"/>
  </w:num>
  <w:num w:numId="10" w16cid:durableId="34084338">
    <w:abstractNumId w:val="5"/>
  </w:num>
  <w:num w:numId="11" w16cid:durableId="1933128744">
    <w:abstractNumId w:val="22"/>
  </w:num>
  <w:num w:numId="12" w16cid:durableId="1983076104">
    <w:abstractNumId w:val="12"/>
  </w:num>
  <w:num w:numId="13" w16cid:durableId="1654794862">
    <w:abstractNumId w:val="23"/>
  </w:num>
  <w:num w:numId="14" w16cid:durableId="1178738999">
    <w:abstractNumId w:val="13"/>
  </w:num>
  <w:num w:numId="15" w16cid:durableId="2124763595">
    <w:abstractNumId w:val="8"/>
  </w:num>
  <w:num w:numId="16" w16cid:durableId="467406570">
    <w:abstractNumId w:val="3"/>
  </w:num>
  <w:num w:numId="17" w16cid:durableId="1046485072">
    <w:abstractNumId w:val="6"/>
  </w:num>
  <w:num w:numId="18" w16cid:durableId="1784423637">
    <w:abstractNumId w:val="4"/>
  </w:num>
  <w:num w:numId="19" w16cid:durableId="1725257346">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848907060">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795031054">
    <w:abstractNumId w:val="15"/>
  </w:num>
  <w:num w:numId="22" w16cid:durableId="1447773662">
    <w:abstractNumId w:val="19"/>
    <w:lvlOverride w:ilvl="0">
      <w:startOverride w:val="1"/>
    </w:lvlOverride>
  </w:num>
  <w:num w:numId="23" w16cid:durableId="165488161">
    <w:abstractNumId w:val="0"/>
  </w:num>
  <w:num w:numId="24" w16cid:durableId="2098744809">
    <w:abstractNumId w:val="17"/>
  </w:num>
  <w:num w:numId="25" w16cid:durableId="694498351">
    <w:abstractNumId w:val="9"/>
  </w:num>
  <w:num w:numId="26" w16cid:durableId="1435250268">
    <w:abstractNumId w:val="2"/>
  </w:num>
  <w:num w:numId="27" w16cid:durableId="501552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A187C"/>
    <w:rsid w:val="000A3A7D"/>
    <w:rsid w:val="000C0EE1"/>
    <w:rsid w:val="00106A17"/>
    <w:rsid w:val="001C2F6F"/>
    <w:rsid w:val="001E02F1"/>
    <w:rsid w:val="00251078"/>
    <w:rsid w:val="00251371"/>
    <w:rsid w:val="002C4707"/>
    <w:rsid w:val="002F09F5"/>
    <w:rsid w:val="0030068A"/>
    <w:rsid w:val="003D151A"/>
    <w:rsid w:val="004222F3"/>
    <w:rsid w:val="00432214"/>
    <w:rsid w:val="00461CEC"/>
    <w:rsid w:val="00480EFA"/>
    <w:rsid w:val="004D7493"/>
    <w:rsid w:val="00517DFE"/>
    <w:rsid w:val="0055295C"/>
    <w:rsid w:val="00557516"/>
    <w:rsid w:val="00560931"/>
    <w:rsid w:val="005B5A16"/>
    <w:rsid w:val="00674806"/>
    <w:rsid w:val="006B2DA7"/>
    <w:rsid w:val="006E7F3D"/>
    <w:rsid w:val="00715F1E"/>
    <w:rsid w:val="007362BC"/>
    <w:rsid w:val="0074021B"/>
    <w:rsid w:val="00810D2D"/>
    <w:rsid w:val="0083032E"/>
    <w:rsid w:val="00834DC1"/>
    <w:rsid w:val="00847DE9"/>
    <w:rsid w:val="008912E1"/>
    <w:rsid w:val="0089733E"/>
    <w:rsid w:val="008B61A9"/>
    <w:rsid w:val="008C2DC7"/>
    <w:rsid w:val="00910441"/>
    <w:rsid w:val="009456D3"/>
    <w:rsid w:val="00950AF3"/>
    <w:rsid w:val="0095405C"/>
    <w:rsid w:val="009E2184"/>
    <w:rsid w:val="00A24E96"/>
    <w:rsid w:val="00A53645"/>
    <w:rsid w:val="00A60F6F"/>
    <w:rsid w:val="00A70E58"/>
    <w:rsid w:val="00A94AC9"/>
    <w:rsid w:val="00B4087F"/>
    <w:rsid w:val="00C12728"/>
    <w:rsid w:val="00CD7103"/>
    <w:rsid w:val="00CE6D4C"/>
    <w:rsid w:val="00D260BA"/>
    <w:rsid w:val="00D404F5"/>
    <w:rsid w:val="00DB4FA5"/>
    <w:rsid w:val="00DC0619"/>
    <w:rsid w:val="00E21AEF"/>
    <w:rsid w:val="00E60552"/>
    <w:rsid w:val="00E6481D"/>
    <w:rsid w:val="00EA4D7F"/>
    <w:rsid w:val="00F050F8"/>
    <w:rsid w:val="00F53FB3"/>
    <w:rsid w:val="00F6729B"/>
    <w:rsid w:val="00F75931"/>
    <w:rsid w:val="00FF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qFormat/>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19585">
      <w:bodyDiv w:val="1"/>
      <w:marLeft w:val="0"/>
      <w:marRight w:val="0"/>
      <w:marTop w:val="0"/>
      <w:marBottom w:val="0"/>
      <w:divBdr>
        <w:top w:val="none" w:sz="0" w:space="0" w:color="auto"/>
        <w:left w:val="none" w:sz="0" w:space="0" w:color="auto"/>
        <w:bottom w:val="none" w:sz="0" w:space="0" w:color="auto"/>
        <w:right w:val="none" w:sz="0" w:space="0" w:color="auto"/>
      </w:divBdr>
    </w:div>
    <w:div w:id="13583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SEncos</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SEncos – decision</dc:title>
  <dc:subject/>
  <dc:creator>Morgan Toner (NELC)</dc:creator>
  <cp:keywords/>
  <dc:description/>
  <cp:lastModifiedBy>Morgan Toner (NELC)</cp:lastModifiedBy>
  <cp:revision>9</cp:revision>
  <dcterms:created xsi:type="dcterms:W3CDTF">2022-07-21T09:39:00Z</dcterms:created>
  <dcterms:modified xsi:type="dcterms:W3CDTF">2022-07-25T17:55:00Z</dcterms:modified>
</cp:coreProperties>
</file>