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71AE23C7" w:rsidR="0074021B" w:rsidRPr="009456D3" w:rsidRDefault="00560931"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O</w:t>
                                  </w:r>
                                  <w:r w:rsidR="008B61A9" w:rsidRPr="009456D3">
                                    <w:rPr>
                                      <w:rFonts w:asciiTheme="majorHAnsi" w:eastAsiaTheme="majorEastAsia" w:hAnsiTheme="majorHAnsi" w:cstheme="majorBidi"/>
                                      <w:caps/>
                                      <w:sz w:val="52"/>
                                      <w:szCs w:val="52"/>
                                    </w:rPr>
                                    <w:t>V</w:t>
                                  </w:r>
                                  <w:r w:rsidRPr="009456D3">
                                    <w:rPr>
                                      <w:rFonts w:asciiTheme="majorHAnsi" w:eastAsiaTheme="majorEastAsia" w:hAnsiTheme="majorHAnsi" w:cstheme="majorBidi"/>
                                      <w:caps/>
                                      <w:sz w:val="52"/>
                                      <w:szCs w:val="52"/>
                                    </w:rPr>
                                    <w:t>er</w:t>
                                  </w:r>
                                  <w:r w:rsidR="008B61A9" w:rsidRPr="009456D3">
                                    <w:rPr>
                                      <w:rFonts w:asciiTheme="majorHAnsi" w:eastAsiaTheme="majorEastAsia" w:hAnsiTheme="majorHAnsi" w:cstheme="majorBidi"/>
                                      <w:caps/>
                                      <w:sz w:val="52"/>
                                      <w:szCs w:val="52"/>
                                    </w:rPr>
                                    <w:t xml:space="preserve">View </w:t>
                                  </w:r>
                                  <w:r w:rsidR="000A187C" w:rsidRPr="009456D3">
                                    <w:rPr>
                                      <w:rFonts w:asciiTheme="majorHAnsi" w:eastAsiaTheme="majorEastAsia" w:hAnsiTheme="majorHAnsi" w:cstheme="majorBidi"/>
                                      <w:caps/>
                                      <w:sz w:val="52"/>
                                      <w:szCs w:val="52"/>
                                    </w:rPr>
                                    <w:t xml:space="preserve">Document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74021B" w:rsidRPr="009456D3">
                                        <w:rPr>
                                          <w:rFonts w:asciiTheme="majorHAnsi" w:eastAsiaTheme="majorEastAsia" w:hAnsiTheme="majorHAnsi" w:cstheme="majorBidi"/>
                                          <w:caps/>
                                          <w:sz w:val="52"/>
                                          <w:szCs w:val="52"/>
                                        </w:rPr>
                                        <w:t>pARENTS</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71AE23C7" w:rsidR="0074021B" w:rsidRPr="009456D3" w:rsidRDefault="00560931"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O</w:t>
                            </w:r>
                            <w:r w:rsidR="008B61A9" w:rsidRPr="009456D3">
                              <w:rPr>
                                <w:rFonts w:asciiTheme="majorHAnsi" w:eastAsiaTheme="majorEastAsia" w:hAnsiTheme="majorHAnsi" w:cstheme="majorBidi"/>
                                <w:caps/>
                                <w:sz w:val="52"/>
                                <w:szCs w:val="52"/>
                              </w:rPr>
                              <w:t>V</w:t>
                            </w:r>
                            <w:r w:rsidRPr="009456D3">
                              <w:rPr>
                                <w:rFonts w:asciiTheme="majorHAnsi" w:eastAsiaTheme="majorEastAsia" w:hAnsiTheme="majorHAnsi" w:cstheme="majorBidi"/>
                                <w:caps/>
                                <w:sz w:val="52"/>
                                <w:szCs w:val="52"/>
                              </w:rPr>
                              <w:t>er</w:t>
                            </w:r>
                            <w:r w:rsidR="008B61A9" w:rsidRPr="009456D3">
                              <w:rPr>
                                <w:rFonts w:asciiTheme="majorHAnsi" w:eastAsiaTheme="majorEastAsia" w:hAnsiTheme="majorHAnsi" w:cstheme="majorBidi"/>
                                <w:caps/>
                                <w:sz w:val="52"/>
                                <w:szCs w:val="52"/>
                              </w:rPr>
                              <w:t xml:space="preserve">View </w:t>
                            </w:r>
                            <w:r w:rsidR="000A187C" w:rsidRPr="009456D3">
                              <w:rPr>
                                <w:rFonts w:asciiTheme="majorHAnsi" w:eastAsiaTheme="majorEastAsia" w:hAnsiTheme="majorHAnsi" w:cstheme="majorBidi"/>
                                <w:caps/>
                                <w:sz w:val="52"/>
                                <w:szCs w:val="52"/>
                              </w:rPr>
                              <w:t xml:space="preserve">Document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74021B" w:rsidRPr="009456D3">
                                  <w:rPr>
                                    <w:rFonts w:asciiTheme="majorHAnsi" w:eastAsiaTheme="majorEastAsia" w:hAnsiTheme="majorHAnsi" w:cstheme="majorBidi"/>
                                    <w:caps/>
                                    <w:sz w:val="52"/>
                                    <w:szCs w:val="52"/>
                                  </w:rPr>
                                  <w:t>pARENTS</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7A66BDCC" w14:textId="5BB2CB18" w:rsidR="0074021B" w:rsidRDefault="0074021B">
          <w:pPr>
            <w:spacing w:before="0" w:after="200" w:line="276" w:lineRule="auto"/>
            <w:rPr>
              <w:rFonts w:ascii="Arial" w:hAnsi="Arial" w:cs="Arial"/>
              <w:sz w:val="24"/>
            </w:rPr>
          </w:pPr>
          <w:r>
            <w:rPr>
              <w:rFonts w:ascii="Arial" w:hAnsi="Arial" w:cs="Arial"/>
              <w:sz w:val="24"/>
            </w:rPr>
            <w:br w:type="page"/>
          </w:r>
        </w:p>
      </w:sdtContent>
    </w:sdt>
    <w:p w14:paraId="7B3987BD" w14:textId="47214EBB" w:rsidR="0074021B" w:rsidRDefault="0074021B">
      <w:pPr>
        <w:spacing w:before="0" w:after="200" w:line="276" w:lineRule="auto"/>
        <w:rPr>
          <w:rFonts w:ascii="Arial" w:hAnsi="Arial" w:cs="Arial"/>
          <w:sz w:val="24"/>
        </w:rPr>
      </w:pPr>
    </w:p>
    <w:p w14:paraId="71A930E6" w14:textId="77777777" w:rsidR="00D404F5" w:rsidRDefault="00D404F5" w:rsidP="0095405C">
      <w:pPr>
        <w:spacing w:after="0"/>
        <w:rPr>
          <w:rFonts w:ascii="Arial" w:hAnsi="Arial" w:cs="Arial"/>
          <w:sz w:val="24"/>
        </w:rPr>
      </w:pPr>
    </w:p>
    <w:p w14:paraId="32B7393B" w14:textId="77777777" w:rsidR="0095405C" w:rsidRPr="00E6481D" w:rsidRDefault="0095405C" w:rsidP="0095405C">
      <w:pPr>
        <w:pStyle w:val="Mainheadline"/>
        <w:rPr>
          <w:rFonts w:ascii="Arial" w:hAnsi="Arial" w:cs="Arial"/>
          <w:color w:val="auto"/>
          <w:sz w:val="24"/>
          <w:szCs w:val="24"/>
        </w:rPr>
      </w:pPr>
      <w:bookmarkStart w:id="0" w:name="_Toc83199000"/>
      <w:r w:rsidRPr="00E6481D">
        <w:rPr>
          <w:rFonts w:ascii="Arial" w:hAnsi="Arial" w:cs="Arial"/>
          <w:color w:val="auto"/>
          <w:sz w:val="24"/>
          <w:szCs w:val="24"/>
        </w:rPr>
        <w:t>Introduction</w:t>
      </w:r>
      <w:bookmarkEnd w:id="0"/>
    </w:p>
    <w:p w14:paraId="02FCC09E" w14:textId="77777777" w:rsidR="0055295C" w:rsidRPr="007362BC" w:rsidRDefault="0055295C" w:rsidP="0055295C">
      <w:pPr>
        <w:spacing w:before="0" w:after="0" w:line="276" w:lineRule="auto"/>
        <w:jc w:val="both"/>
        <w:rPr>
          <w:rFonts w:ascii="Arial" w:eastAsiaTheme="minorHAnsi" w:hAnsi="Arial" w:cs="Arial"/>
          <w:sz w:val="24"/>
        </w:rPr>
      </w:pPr>
      <w:r w:rsidRPr="007362BC">
        <w:rPr>
          <w:rFonts w:ascii="Arial" w:eastAsiaTheme="minorHAnsi" w:hAnsi="Arial" w:cs="Arial"/>
          <w:sz w:val="24"/>
        </w:rPr>
        <w:t>The Education, Health and Care Hub is an online system, which manages Education, Health and Care assessments, plans and annual reviews.  The Hub provides an online area for families, professionals and schools to work together and provide information for these processes.</w:t>
      </w:r>
    </w:p>
    <w:p w14:paraId="67486420" w14:textId="0660F934" w:rsidR="0055295C" w:rsidRPr="007362BC" w:rsidRDefault="0055295C" w:rsidP="0055295C">
      <w:pPr>
        <w:spacing w:before="0" w:after="0" w:line="276" w:lineRule="auto"/>
        <w:jc w:val="both"/>
        <w:rPr>
          <w:rFonts w:ascii="Arial" w:eastAsiaTheme="minorHAnsi" w:hAnsi="Arial" w:cs="Arial"/>
          <w:sz w:val="24"/>
        </w:rPr>
      </w:pPr>
    </w:p>
    <w:p w14:paraId="2C87D1C4" w14:textId="66317F52" w:rsidR="00251078" w:rsidRPr="007362BC" w:rsidRDefault="00251078" w:rsidP="00251078">
      <w:pPr>
        <w:spacing w:before="0" w:after="0" w:line="276" w:lineRule="auto"/>
        <w:jc w:val="both"/>
        <w:rPr>
          <w:rFonts w:ascii="Arial" w:eastAsiaTheme="minorHAnsi" w:hAnsi="Arial" w:cs="Arial"/>
          <w:sz w:val="24"/>
        </w:rPr>
      </w:pPr>
      <w:r w:rsidRPr="007362BC">
        <w:rPr>
          <w:rFonts w:ascii="Arial" w:eastAsiaTheme="minorHAnsi" w:hAnsi="Arial" w:cs="Arial"/>
          <w:sz w:val="24"/>
        </w:rPr>
        <w:t xml:space="preserve">It is not compulsory for parents/carers to use the Hub, as information can be printed out and sent to the parents in hard copy format.  Alternatively, access to the Hub can be granted to an advocate, or the parent can sit with the SENDCo and look at the information on the screen.  </w:t>
      </w:r>
    </w:p>
    <w:p w14:paraId="51450712" w14:textId="602D2CCE" w:rsidR="00251078" w:rsidRPr="007362BC" w:rsidRDefault="00251078" w:rsidP="0055295C">
      <w:pPr>
        <w:spacing w:before="0" w:after="0" w:line="276" w:lineRule="auto"/>
        <w:jc w:val="both"/>
        <w:rPr>
          <w:rFonts w:ascii="Arial" w:eastAsiaTheme="minorHAnsi" w:hAnsi="Arial" w:cs="Arial"/>
          <w:sz w:val="24"/>
        </w:rPr>
      </w:pPr>
    </w:p>
    <w:p w14:paraId="3C360CE1" w14:textId="6F40F66D" w:rsidR="00251078" w:rsidRPr="00E6481D" w:rsidRDefault="00A94AC9" w:rsidP="0055295C">
      <w:pPr>
        <w:spacing w:before="0" w:after="0" w:line="276" w:lineRule="auto"/>
        <w:jc w:val="both"/>
        <w:rPr>
          <w:rFonts w:ascii="Arial" w:eastAsiaTheme="minorHAnsi" w:hAnsi="Arial" w:cs="Arial"/>
          <w:b/>
          <w:bCs/>
          <w:sz w:val="24"/>
        </w:rPr>
      </w:pPr>
      <w:r w:rsidRPr="00E6481D">
        <w:rPr>
          <w:rFonts w:ascii="Arial" w:eastAsiaTheme="minorHAnsi" w:hAnsi="Arial" w:cs="Arial"/>
          <w:b/>
          <w:bCs/>
          <w:sz w:val="24"/>
        </w:rPr>
        <w:t>Overview on l</w:t>
      </w:r>
      <w:r w:rsidR="00251078" w:rsidRPr="00E6481D">
        <w:rPr>
          <w:rFonts w:ascii="Arial" w:eastAsiaTheme="minorHAnsi" w:hAnsi="Arial" w:cs="Arial"/>
          <w:b/>
          <w:bCs/>
          <w:sz w:val="24"/>
        </w:rPr>
        <w:t>ogging into the Hub</w:t>
      </w:r>
    </w:p>
    <w:p w14:paraId="0691506C" w14:textId="77777777" w:rsidR="00251078" w:rsidRPr="007362BC" w:rsidRDefault="00251078" w:rsidP="0055295C">
      <w:pPr>
        <w:spacing w:before="0" w:after="0" w:line="276" w:lineRule="auto"/>
        <w:jc w:val="both"/>
        <w:rPr>
          <w:rFonts w:ascii="Arial" w:eastAsiaTheme="minorHAnsi" w:hAnsi="Arial" w:cs="Arial"/>
          <w:sz w:val="24"/>
        </w:rPr>
      </w:pPr>
    </w:p>
    <w:p w14:paraId="393EA4C3" w14:textId="77777777" w:rsidR="00251078" w:rsidRPr="007362BC" w:rsidRDefault="00251078" w:rsidP="00251078">
      <w:pPr>
        <w:spacing w:before="0" w:after="0" w:line="276" w:lineRule="auto"/>
        <w:jc w:val="both"/>
        <w:rPr>
          <w:rFonts w:ascii="Arial" w:eastAsiaTheme="minorHAnsi" w:hAnsi="Arial" w:cs="Arial"/>
          <w:sz w:val="24"/>
        </w:rPr>
      </w:pPr>
      <w:r w:rsidRPr="007362BC">
        <w:rPr>
          <w:rFonts w:ascii="Arial" w:eastAsiaTheme="minorHAnsi" w:hAnsi="Arial" w:cs="Arial"/>
          <w:sz w:val="24"/>
        </w:rPr>
        <w:t>Parents and carers will receive an e-mail inviting them to register to access the Hub.  You will need to click on the link and choose your own password, which should be 8 characters long, include one number and one capital letter.  If you have not received an invitation to register, please contact the SEND Team, who will be happy to assist.</w:t>
      </w:r>
    </w:p>
    <w:p w14:paraId="3991AAB8" w14:textId="244F2D90" w:rsidR="00251078" w:rsidRPr="007362BC" w:rsidRDefault="00251078" w:rsidP="0095405C">
      <w:pPr>
        <w:rPr>
          <w:rFonts w:ascii="Arial" w:hAnsi="Arial" w:cs="Arial"/>
          <w:bCs/>
          <w:sz w:val="24"/>
        </w:rPr>
      </w:pPr>
    </w:p>
    <w:p w14:paraId="3C670315" w14:textId="77777777" w:rsidR="00251078" w:rsidRPr="007362BC" w:rsidRDefault="00251078" w:rsidP="00251078">
      <w:pPr>
        <w:spacing w:before="0" w:after="0" w:line="276" w:lineRule="auto"/>
        <w:jc w:val="both"/>
        <w:rPr>
          <w:rFonts w:ascii="Arial" w:eastAsiaTheme="minorHAnsi" w:hAnsi="Arial" w:cs="Arial"/>
          <w:sz w:val="24"/>
        </w:rPr>
      </w:pPr>
      <w:r w:rsidRPr="007362BC">
        <w:rPr>
          <w:rFonts w:ascii="Arial" w:eastAsiaTheme="minorHAnsi" w:hAnsi="Arial" w:cs="Arial"/>
          <w:sz w:val="24"/>
        </w:rPr>
        <w:t>As an extra security measure, similar to what you might already be doing for your own personal online banking, you will be asked to provide your mobile number, so that a verification code can be texted to you, each time that you log into the Hub.</w:t>
      </w:r>
    </w:p>
    <w:p w14:paraId="0C93A330" w14:textId="16E832EB" w:rsidR="00251078" w:rsidRPr="007362BC" w:rsidRDefault="00251078" w:rsidP="0095405C">
      <w:pPr>
        <w:rPr>
          <w:rFonts w:ascii="Arial" w:hAnsi="Arial" w:cs="Arial"/>
          <w:bCs/>
          <w:sz w:val="24"/>
        </w:rPr>
      </w:pPr>
    </w:p>
    <w:p w14:paraId="5BE90E79" w14:textId="77777777" w:rsidR="00251078" w:rsidRPr="007362BC" w:rsidRDefault="00251078" w:rsidP="00251078">
      <w:pPr>
        <w:spacing w:before="0" w:after="0" w:line="276" w:lineRule="auto"/>
        <w:jc w:val="both"/>
        <w:rPr>
          <w:rFonts w:ascii="Arial" w:eastAsiaTheme="minorHAnsi" w:hAnsi="Arial" w:cs="Arial"/>
          <w:sz w:val="24"/>
        </w:rPr>
      </w:pPr>
      <w:r w:rsidRPr="007362BC">
        <w:rPr>
          <w:rFonts w:ascii="Arial" w:eastAsiaTheme="minorHAnsi" w:hAnsi="Arial" w:cs="Arial"/>
          <w:sz w:val="24"/>
        </w:rPr>
        <w:t>Apart from the text message option for generating a verification code, another option is to use a Smart phone app.  This will require you going into the App Store, searching for and opening up Google Authenticator, which is free.  This then gives you the option to scan the barcode which will be displayed on the screen and generate the six-digit verification code.  Each subsequent time that you log in, you will need to input the code from your authenticator app.</w:t>
      </w:r>
    </w:p>
    <w:p w14:paraId="0CE6C56C" w14:textId="4B42CEB5" w:rsidR="00251078" w:rsidRPr="007362BC" w:rsidRDefault="00251078" w:rsidP="0095405C">
      <w:pPr>
        <w:rPr>
          <w:rFonts w:ascii="Arial" w:hAnsi="Arial" w:cs="Arial"/>
          <w:bCs/>
          <w:sz w:val="24"/>
        </w:rPr>
      </w:pPr>
    </w:p>
    <w:p w14:paraId="6AFFA0A7" w14:textId="77777777" w:rsidR="00EA4D7F" w:rsidRPr="007362BC" w:rsidRDefault="00EA4D7F" w:rsidP="00EA4D7F">
      <w:pPr>
        <w:spacing w:before="0" w:after="0" w:line="276" w:lineRule="auto"/>
        <w:jc w:val="both"/>
        <w:rPr>
          <w:rFonts w:ascii="Arial" w:eastAsiaTheme="minorHAnsi" w:hAnsi="Arial" w:cs="Arial"/>
          <w:sz w:val="24"/>
        </w:rPr>
      </w:pPr>
      <w:r w:rsidRPr="007362BC">
        <w:rPr>
          <w:rFonts w:ascii="Arial" w:eastAsiaTheme="minorHAnsi" w:hAnsi="Arial" w:cs="Arial"/>
          <w:sz w:val="24"/>
        </w:rPr>
        <w:t xml:space="preserve">Parents/carers will have an opportunity to add information to the Hub, as part of the Education, Health and Care needs assessment and plan review processes.  </w:t>
      </w:r>
    </w:p>
    <w:p w14:paraId="6BC3285E" w14:textId="5B467E89" w:rsidR="00EA4D7F" w:rsidRDefault="00EA4D7F" w:rsidP="00EA4D7F">
      <w:pPr>
        <w:spacing w:before="0" w:after="0" w:line="276" w:lineRule="auto"/>
        <w:jc w:val="both"/>
        <w:rPr>
          <w:rFonts w:ascii="Arial" w:eastAsiaTheme="minorHAnsi" w:hAnsi="Arial" w:cs="Arial"/>
          <w:sz w:val="24"/>
        </w:rPr>
      </w:pPr>
    </w:p>
    <w:p w14:paraId="38F0882C" w14:textId="77777777" w:rsidR="00EA4D7F" w:rsidRPr="007362BC" w:rsidRDefault="00EA4D7F" w:rsidP="00EA4D7F">
      <w:pPr>
        <w:spacing w:before="0" w:after="0" w:line="276" w:lineRule="auto"/>
        <w:jc w:val="both"/>
        <w:rPr>
          <w:rFonts w:ascii="Arial" w:eastAsiaTheme="minorHAnsi" w:hAnsi="Arial" w:cs="Arial"/>
          <w:sz w:val="24"/>
        </w:rPr>
      </w:pPr>
      <w:r w:rsidRPr="007362BC">
        <w:rPr>
          <w:rFonts w:ascii="Arial" w:eastAsiaTheme="minorHAnsi" w:hAnsi="Arial" w:cs="Arial"/>
          <w:sz w:val="24"/>
        </w:rPr>
        <w:t xml:space="preserve">Just as general piece of advice on using the Hub, </w:t>
      </w:r>
      <w:r w:rsidRPr="007362BC">
        <w:rPr>
          <w:rFonts w:ascii="Arial" w:eastAsiaTheme="minorHAnsi" w:hAnsi="Arial" w:cs="Arial"/>
          <w:sz w:val="24"/>
          <w:shd w:val="clear" w:color="auto" w:fill="FFFFFF"/>
        </w:rPr>
        <w:t>please ensure that the EHC Hub is not being accessed via Internet Explorer browser as this is not supported by the software and may not allow you to see everything correctly.  It is recommended accessing the Hub via Microsoft Edge, Google Chrome or Firefox.</w:t>
      </w:r>
    </w:p>
    <w:p w14:paraId="5D00DD3A" w14:textId="0533F45B" w:rsidR="00251078" w:rsidRPr="007362BC" w:rsidRDefault="00251078" w:rsidP="0095405C">
      <w:pPr>
        <w:rPr>
          <w:rFonts w:ascii="Arial" w:hAnsi="Arial" w:cs="Arial"/>
          <w:bCs/>
          <w:sz w:val="24"/>
        </w:rPr>
      </w:pPr>
    </w:p>
    <w:p w14:paraId="7CE90330" w14:textId="77777777" w:rsidR="00517DFE" w:rsidRPr="007362BC" w:rsidRDefault="00517DFE" w:rsidP="0095405C">
      <w:pPr>
        <w:rPr>
          <w:rFonts w:ascii="Arial" w:hAnsi="Arial" w:cs="Arial"/>
          <w:bCs/>
          <w:sz w:val="24"/>
        </w:rPr>
      </w:pPr>
    </w:p>
    <w:p w14:paraId="35320B52" w14:textId="1F745F7C" w:rsidR="00251078" w:rsidRPr="007362BC" w:rsidRDefault="00517DFE" w:rsidP="0095405C">
      <w:pPr>
        <w:rPr>
          <w:rFonts w:ascii="Arial" w:hAnsi="Arial" w:cs="Arial"/>
          <w:bCs/>
          <w:sz w:val="24"/>
        </w:rPr>
      </w:pPr>
      <w:r w:rsidRPr="007362BC">
        <w:rPr>
          <w:rFonts w:ascii="Arial" w:hAnsi="Arial" w:cs="Arial"/>
          <w:bCs/>
          <w:sz w:val="24"/>
        </w:rPr>
        <w:t>In order to help guide parents through the process, IDOX, the provider of the Hub, has produced guidance material for parents, which has been split into the following topics:</w:t>
      </w:r>
    </w:p>
    <w:p w14:paraId="3FDAAB75" w14:textId="42F06C5D" w:rsidR="00517DFE" w:rsidRPr="007362BC" w:rsidRDefault="00517DFE" w:rsidP="0095405C">
      <w:pPr>
        <w:rPr>
          <w:rFonts w:ascii="Arial" w:hAnsi="Arial" w:cs="Arial"/>
          <w:bCs/>
          <w:sz w:val="24"/>
        </w:rPr>
      </w:pPr>
    </w:p>
    <w:p w14:paraId="1C7A02DB" w14:textId="0DFA0D03" w:rsidR="00517DFE" w:rsidRPr="007362BC" w:rsidRDefault="00517DFE" w:rsidP="00557516">
      <w:pPr>
        <w:pStyle w:val="ListParagraph"/>
        <w:numPr>
          <w:ilvl w:val="0"/>
          <w:numId w:val="25"/>
        </w:numPr>
        <w:rPr>
          <w:rFonts w:ascii="Arial" w:hAnsi="Arial" w:cs="Arial"/>
          <w:bCs/>
          <w:sz w:val="24"/>
        </w:rPr>
      </w:pPr>
      <w:r w:rsidRPr="007362BC">
        <w:rPr>
          <w:rFonts w:ascii="Arial" w:hAnsi="Arial" w:cs="Arial"/>
          <w:bCs/>
          <w:sz w:val="24"/>
        </w:rPr>
        <w:t>Needs Assessment Process</w:t>
      </w:r>
    </w:p>
    <w:p w14:paraId="53F10EDF" w14:textId="6B69395D" w:rsidR="00517DFE" w:rsidRPr="007362BC" w:rsidRDefault="00517DFE" w:rsidP="00557516">
      <w:pPr>
        <w:pStyle w:val="ListParagraph"/>
        <w:numPr>
          <w:ilvl w:val="0"/>
          <w:numId w:val="25"/>
        </w:numPr>
        <w:rPr>
          <w:rFonts w:ascii="Arial" w:hAnsi="Arial" w:cs="Arial"/>
          <w:bCs/>
          <w:sz w:val="24"/>
        </w:rPr>
      </w:pPr>
      <w:r w:rsidRPr="007362BC">
        <w:rPr>
          <w:rFonts w:ascii="Arial" w:hAnsi="Arial" w:cs="Arial"/>
          <w:bCs/>
          <w:sz w:val="24"/>
        </w:rPr>
        <w:t>How to register for an account</w:t>
      </w:r>
    </w:p>
    <w:p w14:paraId="06F725AC" w14:textId="7BDD7CD7" w:rsidR="00517DFE" w:rsidRPr="007362BC" w:rsidRDefault="00517DFE" w:rsidP="00557516">
      <w:pPr>
        <w:pStyle w:val="ListParagraph"/>
        <w:numPr>
          <w:ilvl w:val="0"/>
          <w:numId w:val="25"/>
        </w:numPr>
        <w:rPr>
          <w:rFonts w:ascii="Arial" w:hAnsi="Arial" w:cs="Arial"/>
          <w:bCs/>
          <w:sz w:val="24"/>
        </w:rPr>
      </w:pPr>
      <w:r w:rsidRPr="007362BC">
        <w:rPr>
          <w:rFonts w:ascii="Arial" w:hAnsi="Arial" w:cs="Arial"/>
          <w:bCs/>
          <w:sz w:val="24"/>
        </w:rPr>
        <w:t>Viewing the Request for Assessment</w:t>
      </w:r>
    </w:p>
    <w:p w14:paraId="6C29D884" w14:textId="7FD5651E" w:rsidR="00517DFE" w:rsidRPr="007362BC" w:rsidRDefault="00517DFE" w:rsidP="00557516">
      <w:pPr>
        <w:pStyle w:val="ListParagraph"/>
        <w:numPr>
          <w:ilvl w:val="0"/>
          <w:numId w:val="25"/>
        </w:numPr>
        <w:rPr>
          <w:rFonts w:ascii="Arial" w:hAnsi="Arial" w:cs="Arial"/>
          <w:bCs/>
          <w:sz w:val="24"/>
        </w:rPr>
      </w:pPr>
      <w:r w:rsidRPr="007362BC">
        <w:rPr>
          <w:rFonts w:ascii="Arial" w:hAnsi="Arial" w:cs="Arial"/>
          <w:bCs/>
          <w:sz w:val="24"/>
        </w:rPr>
        <w:t>How to contribute to a request</w:t>
      </w:r>
    </w:p>
    <w:p w14:paraId="3C6BE0EA" w14:textId="56F34A76" w:rsidR="00251078" w:rsidRPr="007362BC" w:rsidRDefault="00517DFE" w:rsidP="00557516">
      <w:pPr>
        <w:pStyle w:val="ListParagraph"/>
        <w:numPr>
          <w:ilvl w:val="0"/>
          <w:numId w:val="25"/>
        </w:numPr>
        <w:rPr>
          <w:rFonts w:ascii="Arial" w:hAnsi="Arial" w:cs="Arial"/>
          <w:bCs/>
          <w:sz w:val="24"/>
        </w:rPr>
      </w:pPr>
      <w:r w:rsidRPr="007362BC">
        <w:rPr>
          <w:rFonts w:ascii="Arial" w:hAnsi="Arial" w:cs="Arial"/>
          <w:bCs/>
          <w:sz w:val="24"/>
        </w:rPr>
        <w:t>How to contribute to an assessment</w:t>
      </w:r>
    </w:p>
    <w:p w14:paraId="2B6401DC" w14:textId="5BCA5DF1" w:rsidR="00517DFE" w:rsidRPr="007362BC" w:rsidRDefault="00557516" w:rsidP="00557516">
      <w:pPr>
        <w:pStyle w:val="ListParagraph"/>
        <w:numPr>
          <w:ilvl w:val="0"/>
          <w:numId w:val="25"/>
        </w:numPr>
        <w:rPr>
          <w:rFonts w:ascii="Arial" w:hAnsi="Arial" w:cs="Arial"/>
          <w:bCs/>
          <w:sz w:val="24"/>
        </w:rPr>
      </w:pPr>
      <w:r w:rsidRPr="007362BC">
        <w:rPr>
          <w:rFonts w:ascii="Arial" w:hAnsi="Arial" w:cs="Arial"/>
          <w:bCs/>
          <w:sz w:val="24"/>
        </w:rPr>
        <w:t>How to comment on a draft plan</w:t>
      </w:r>
    </w:p>
    <w:p w14:paraId="6B2B1BE2" w14:textId="35E18E4B" w:rsidR="00251078" w:rsidRPr="007362BC" w:rsidRDefault="00557516" w:rsidP="00557516">
      <w:pPr>
        <w:pStyle w:val="ListParagraph"/>
        <w:numPr>
          <w:ilvl w:val="0"/>
          <w:numId w:val="25"/>
        </w:numPr>
        <w:rPr>
          <w:rFonts w:ascii="Arial" w:hAnsi="Arial" w:cs="Arial"/>
          <w:bCs/>
          <w:sz w:val="24"/>
        </w:rPr>
      </w:pPr>
      <w:r w:rsidRPr="007362BC">
        <w:rPr>
          <w:rFonts w:ascii="Arial" w:hAnsi="Arial" w:cs="Arial"/>
          <w:bCs/>
          <w:sz w:val="24"/>
        </w:rPr>
        <w:t>EHC Plan Review</w:t>
      </w:r>
    </w:p>
    <w:p w14:paraId="66AFB82B" w14:textId="011C9941" w:rsidR="00557516" w:rsidRPr="007362BC" w:rsidRDefault="00557516" w:rsidP="00557516">
      <w:pPr>
        <w:pStyle w:val="ListParagraph"/>
        <w:numPr>
          <w:ilvl w:val="0"/>
          <w:numId w:val="25"/>
        </w:numPr>
        <w:rPr>
          <w:rFonts w:ascii="Arial" w:hAnsi="Arial" w:cs="Arial"/>
          <w:bCs/>
          <w:sz w:val="24"/>
        </w:rPr>
      </w:pPr>
      <w:r w:rsidRPr="007362BC">
        <w:rPr>
          <w:rFonts w:ascii="Arial" w:hAnsi="Arial" w:cs="Arial"/>
          <w:bCs/>
          <w:sz w:val="24"/>
        </w:rPr>
        <w:t>EHC Plan Meeting &amp; Meeting Report</w:t>
      </w:r>
    </w:p>
    <w:p w14:paraId="48981477" w14:textId="371F5487" w:rsidR="00557516" w:rsidRPr="007362BC" w:rsidRDefault="00557516" w:rsidP="00557516">
      <w:pPr>
        <w:pStyle w:val="ListParagraph"/>
        <w:numPr>
          <w:ilvl w:val="0"/>
          <w:numId w:val="25"/>
        </w:numPr>
        <w:rPr>
          <w:rFonts w:ascii="Arial" w:hAnsi="Arial" w:cs="Arial"/>
          <w:bCs/>
          <w:sz w:val="24"/>
        </w:rPr>
      </w:pPr>
      <w:r w:rsidRPr="007362BC">
        <w:rPr>
          <w:rFonts w:ascii="Arial" w:hAnsi="Arial" w:cs="Arial"/>
          <w:bCs/>
          <w:sz w:val="24"/>
        </w:rPr>
        <w:t>Help using forms</w:t>
      </w:r>
    </w:p>
    <w:p w14:paraId="09C6BE86" w14:textId="2887BF06" w:rsidR="00251078" w:rsidRPr="007362BC" w:rsidRDefault="00251078" w:rsidP="0095405C">
      <w:pPr>
        <w:rPr>
          <w:rFonts w:ascii="Arial" w:hAnsi="Arial" w:cs="Arial"/>
          <w:bCs/>
          <w:sz w:val="24"/>
        </w:rPr>
      </w:pPr>
    </w:p>
    <w:p w14:paraId="7AB80053" w14:textId="57F6B2F9" w:rsidR="00251078" w:rsidRPr="007362BC" w:rsidRDefault="00557516" w:rsidP="0095405C">
      <w:pPr>
        <w:rPr>
          <w:rFonts w:ascii="Arial" w:hAnsi="Arial" w:cs="Arial"/>
          <w:bCs/>
          <w:sz w:val="24"/>
        </w:rPr>
      </w:pPr>
      <w:r w:rsidRPr="007362BC">
        <w:rPr>
          <w:rFonts w:ascii="Arial" w:hAnsi="Arial" w:cs="Arial"/>
          <w:bCs/>
          <w:sz w:val="24"/>
        </w:rPr>
        <w:t>There is a</w:t>
      </w:r>
      <w:r w:rsidR="003D151A" w:rsidRPr="007362BC">
        <w:rPr>
          <w:rFonts w:ascii="Arial" w:hAnsi="Arial" w:cs="Arial"/>
          <w:bCs/>
          <w:sz w:val="24"/>
        </w:rPr>
        <w:t xml:space="preserve"> separate</w:t>
      </w:r>
      <w:r w:rsidRPr="007362BC">
        <w:rPr>
          <w:rFonts w:ascii="Arial" w:hAnsi="Arial" w:cs="Arial"/>
          <w:bCs/>
          <w:sz w:val="24"/>
        </w:rPr>
        <w:t xml:space="preserve"> guidance document for each of these topics</w:t>
      </w:r>
      <w:r w:rsidR="00F6729B" w:rsidRPr="007362BC">
        <w:rPr>
          <w:rFonts w:ascii="Arial" w:hAnsi="Arial" w:cs="Arial"/>
          <w:bCs/>
          <w:sz w:val="24"/>
        </w:rPr>
        <w:t>, for ease of reference by parents.</w:t>
      </w:r>
    </w:p>
    <w:sectPr w:rsidR="00251078" w:rsidRPr="007362BC" w:rsidSect="0074021B">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4"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5"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19"/>
  </w:num>
  <w:num w:numId="2" w16cid:durableId="38404847">
    <w:abstractNumId w:val="7"/>
  </w:num>
  <w:num w:numId="3" w16cid:durableId="1293174409">
    <w:abstractNumId w:val="17"/>
  </w:num>
  <w:num w:numId="4" w16cid:durableId="1567450398">
    <w:abstractNumId w:val="1"/>
  </w:num>
  <w:num w:numId="5" w16cid:durableId="126364690">
    <w:abstractNumId w:val="13"/>
  </w:num>
  <w:num w:numId="6" w16cid:durableId="2112699998">
    <w:abstractNumId w:val="10"/>
  </w:num>
  <w:num w:numId="7" w16cid:durableId="1070929277">
    <w:abstractNumId w:val="18"/>
  </w:num>
  <w:num w:numId="8" w16cid:durableId="1147166233">
    <w:abstractNumId w:val="20"/>
  </w:num>
  <w:num w:numId="9" w16cid:durableId="360591218">
    <w:abstractNumId w:val="15"/>
  </w:num>
  <w:num w:numId="10" w16cid:durableId="34084338">
    <w:abstractNumId w:val="5"/>
  </w:num>
  <w:num w:numId="11" w16cid:durableId="1933128744">
    <w:abstractNumId w:val="21"/>
  </w:num>
  <w:num w:numId="12" w16cid:durableId="1983076104">
    <w:abstractNumId w:val="11"/>
  </w:num>
  <w:num w:numId="13" w16cid:durableId="1654794862">
    <w:abstractNumId w:val="22"/>
  </w:num>
  <w:num w:numId="14" w16cid:durableId="1178738999">
    <w:abstractNumId w:val="12"/>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4"/>
  </w:num>
  <w:num w:numId="22" w16cid:durableId="1447773662">
    <w:abstractNumId w:val="18"/>
    <w:lvlOverride w:ilvl="0">
      <w:startOverride w:val="1"/>
    </w:lvlOverride>
  </w:num>
  <w:num w:numId="23" w16cid:durableId="165488161">
    <w:abstractNumId w:val="0"/>
  </w:num>
  <w:num w:numId="24" w16cid:durableId="2098744809">
    <w:abstractNumId w:val="16"/>
  </w:num>
  <w:num w:numId="25" w16cid:durableId="694498351">
    <w:abstractNumId w:val="9"/>
  </w:num>
  <w:num w:numId="26" w16cid:durableId="143525026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C0EE1"/>
    <w:rsid w:val="001C2F6F"/>
    <w:rsid w:val="00251078"/>
    <w:rsid w:val="00251371"/>
    <w:rsid w:val="002C4707"/>
    <w:rsid w:val="002F09F5"/>
    <w:rsid w:val="003D151A"/>
    <w:rsid w:val="004222F3"/>
    <w:rsid w:val="00432214"/>
    <w:rsid w:val="00461CEC"/>
    <w:rsid w:val="00480EFA"/>
    <w:rsid w:val="004D7493"/>
    <w:rsid w:val="00517DFE"/>
    <w:rsid w:val="0055295C"/>
    <w:rsid w:val="00557516"/>
    <w:rsid w:val="00560931"/>
    <w:rsid w:val="006E7F3D"/>
    <w:rsid w:val="00715F1E"/>
    <w:rsid w:val="007362BC"/>
    <w:rsid w:val="0074021B"/>
    <w:rsid w:val="0083032E"/>
    <w:rsid w:val="00834DC1"/>
    <w:rsid w:val="008B61A9"/>
    <w:rsid w:val="009456D3"/>
    <w:rsid w:val="0095405C"/>
    <w:rsid w:val="00A53645"/>
    <w:rsid w:val="00A94AC9"/>
    <w:rsid w:val="00CD7103"/>
    <w:rsid w:val="00D404F5"/>
    <w:rsid w:val="00E6481D"/>
    <w:rsid w:val="00EA4D7F"/>
    <w:rsid w:val="00F53FB3"/>
    <w:rsid w:val="00F6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pARENTS</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Morgan Toner (NELC)</dc:creator>
  <cp:keywords/>
  <dc:description/>
  <cp:lastModifiedBy>Morgan Toner (NELC)</cp:lastModifiedBy>
  <cp:revision>15</cp:revision>
  <dcterms:created xsi:type="dcterms:W3CDTF">2022-02-02T11:10:00Z</dcterms:created>
  <dcterms:modified xsi:type="dcterms:W3CDTF">2022-04-11T08:54:00Z</dcterms:modified>
</cp:coreProperties>
</file>