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3EBFD5E7">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474E2D" w:rsidRDefault="0074021B" w:rsidP="0074021B">
                                  <w:pPr>
                                    <w:pStyle w:val="NoSpacing"/>
                                    <w:numPr>
                                      <w:ilvl w:val="0"/>
                                      <w:numId w:val="0"/>
                                    </w:numPr>
                                    <w:jc w:val="center"/>
                                    <w:rPr>
                                      <w:rFonts w:asciiTheme="majorHAnsi" w:eastAsiaTheme="majorEastAsia" w:hAnsiTheme="majorHAnsi" w:cstheme="majorBidi"/>
                                      <w:caps/>
                                      <w:sz w:val="52"/>
                                      <w:szCs w:val="52"/>
                                    </w:rPr>
                                  </w:pPr>
                                  <w:r w:rsidRPr="00474E2D">
                                    <w:rPr>
                                      <w:rFonts w:asciiTheme="majorHAnsi" w:eastAsiaTheme="majorEastAsia" w:hAnsiTheme="majorHAnsi" w:cstheme="majorBidi"/>
                                      <w:caps/>
                                      <w:sz w:val="52"/>
                                      <w:szCs w:val="52"/>
                                    </w:rPr>
                                    <w:t>EDUCATION, HEALTH AND caRE hUB</w:t>
                                  </w:r>
                                </w:p>
                                <w:p w14:paraId="5465243D" w14:textId="522D4986" w:rsidR="0074021B" w:rsidRPr="00474E2D" w:rsidRDefault="003C74D5" w:rsidP="0074021B">
                                  <w:pPr>
                                    <w:pStyle w:val="NoSpacing"/>
                                    <w:numPr>
                                      <w:ilvl w:val="0"/>
                                      <w:numId w:val="0"/>
                                    </w:numPr>
                                    <w:jc w:val="center"/>
                                    <w:rPr>
                                      <w:rFonts w:asciiTheme="majorHAnsi" w:eastAsiaTheme="majorEastAsia" w:hAnsiTheme="majorHAnsi" w:cstheme="majorBidi"/>
                                      <w:caps/>
                                      <w:sz w:val="52"/>
                                      <w:szCs w:val="52"/>
                                    </w:rPr>
                                  </w:pPr>
                                  <w:r w:rsidRPr="00474E2D">
                                    <w:rPr>
                                      <w:rFonts w:asciiTheme="majorHAnsi" w:eastAsiaTheme="majorEastAsia" w:hAnsiTheme="majorHAnsi" w:cstheme="majorBidi"/>
                                      <w:caps/>
                                      <w:sz w:val="52"/>
                                      <w:szCs w:val="52"/>
                                    </w:rPr>
                                    <w:t>Guide 3 for Parents – viewing the request for assessment</w:t>
                                  </w:r>
                                </w:p>
                                <w:p w14:paraId="412CF26E" w14:textId="729DA1BA" w:rsidR="001C2F6F" w:rsidRPr="00474E2D" w:rsidRDefault="009B7293"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474E2D">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474E2D" w:rsidRDefault="0074021B" w:rsidP="0074021B">
                            <w:pPr>
                              <w:pStyle w:val="NoSpacing"/>
                              <w:numPr>
                                <w:ilvl w:val="0"/>
                                <w:numId w:val="0"/>
                              </w:numPr>
                              <w:jc w:val="center"/>
                              <w:rPr>
                                <w:rFonts w:asciiTheme="majorHAnsi" w:eastAsiaTheme="majorEastAsia" w:hAnsiTheme="majorHAnsi" w:cstheme="majorBidi"/>
                                <w:caps/>
                                <w:sz w:val="52"/>
                                <w:szCs w:val="52"/>
                              </w:rPr>
                            </w:pPr>
                            <w:r w:rsidRPr="00474E2D">
                              <w:rPr>
                                <w:rFonts w:asciiTheme="majorHAnsi" w:eastAsiaTheme="majorEastAsia" w:hAnsiTheme="majorHAnsi" w:cstheme="majorBidi"/>
                                <w:caps/>
                                <w:sz w:val="52"/>
                                <w:szCs w:val="52"/>
                              </w:rPr>
                              <w:t>EDUCATION, HEALTH AND caRE hUB</w:t>
                            </w:r>
                          </w:p>
                          <w:p w14:paraId="5465243D" w14:textId="522D4986" w:rsidR="0074021B" w:rsidRPr="00474E2D" w:rsidRDefault="003C74D5" w:rsidP="0074021B">
                            <w:pPr>
                              <w:pStyle w:val="NoSpacing"/>
                              <w:numPr>
                                <w:ilvl w:val="0"/>
                                <w:numId w:val="0"/>
                              </w:numPr>
                              <w:jc w:val="center"/>
                              <w:rPr>
                                <w:rFonts w:asciiTheme="majorHAnsi" w:eastAsiaTheme="majorEastAsia" w:hAnsiTheme="majorHAnsi" w:cstheme="majorBidi"/>
                                <w:caps/>
                                <w:sz w:val="52"/>
                                <w:szCs w:val="52"/>
                              </w:rPr>
                            </w:pPr>
                            <w:r w:rsidRPr="00474E2D">
                              <w:rPr>
                                <w:rFonts w:asciiTheme="majorHAnsi" w:eastAsiaTheme="majorEastAsia" w:hAnsiTheme="majorHAnsi" w:cstheme="majorBidi"/>
                                <w:caps/>
                                <w:sz w:val="52"/>
                                <w:szCs w:val="52"/>
                              </w:rPr>
                              <w:t>Guide 3 for Parents – viewing the request for assessment</w:t>
                            </w:r>
                          </w:p>
                          <w:p w14:paraId="412CF26E" w14:textId="729DA1BA" w:rsidR="001C2F6F" w:rsidRPr="00474E2D" w:rsidRDefault="009B7293"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474E2D">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7A66BDCC" w14:textId="5BB2CB18" w:rsidR="0074021B" w:rsidRDefault="0074021B">
          <w:pPr>
            <w:spacing w:before="0" w:after="200" w:line="276" w:lineRule="auto"/>
            <w:rPr>
              <w:rFonts w:ascii="Arial" w:hAnsi="Arial" w:cs="Arial"/>
              <w:sz w:val="24"/>
            </w:rPr>
          </w:pPr>
          <w:r>
            <w:rPr>
              <w:rFonts w:ascii="Arial" w:hAnsi="Arial" w:cs="Arial"/>
              <w:sz w:val="24"/>
            </w:rPr>
            <w:br w:type="page"/>
          </w:r>
        </w:p>
      </w:sdtContent>
    </w:sdt>
    <w:p w14:paraId="7B3987BD" w14:textId="47214EBB" w:rsidR="0074021B" w:rsidRDefault="0074021B">
      <w:pPr>
        <w:spacing w:before="0" w:after="200" w:line="276" w:lineRule="auto"/>
        <w:rPr>
          <w:rFonts w:ascii="Arial" w:hAnsi="Arial" w:cs="Arial"/>
          <w:sz w:val="24"/>
        </w:rPr>
      </w:pPr>
    </w:p>
    <w:p w14:paraId="4C6FA983" w14:textId="77777777" w:rsidR="0095405C" w:rsidRPr="006F6BB9" w:rsidRDefault="0095405C" w:rsidP="0095405C">
      <w:pPr>
        <w:pStyle w:val="Mainheadline"/>
        <w:rPr>
          <w:rFonts w:ascii="Arial" w:hAnsi="Arial" w:cs="Arial"/>
          <w:color w:val="auto"/>
          <w:sz w:val="24"/>
          <w:szCs w:val="24"/>
        </w:rPr>
      </w:pPr>
      <w:bookmarkStart w:id="0" w:name="_Toc83199015"/>
      <w:bookmarkStart w:id="1" w:name="_Toc50041176"/>
      <w:r w:rsidRPr="006F6BB9">
        <w:rPr>
          <w:rFonts w:ascii="Arial" w:hAnsi="Arial" w:cs="Arial"/>
          <w:color w:val="auto"/>
          <w:sz w:val="24"/>
          <w:szCs w:val="24"/>
        </w:rPr>
        <w:t>Viewing the Request for Assessment</w:t>
      </w:r>
      <w:bookmarkEnd w:id="0"/>
    </w:p>
    <w:p w14:paraId="72C6D7E2" w14:textId="77777777" w:rsidR="0095405C" w:rsidRPr="006F6BB9" w:rsidRDefault="0095405C" w:rsidP="0095405C">
      <w:pPr>
        <w:rPr>
          <w:rFonts w:ascii="Arial" w:hAnsi="Arial" w:cs="Arial"/>
          <w:sz w:val="24"/>
        </w:rPr>
      </w:pPr>
      <w:r w:rsidRPr="006F6BB9">
        <w:rPr>
          <w:rFonts w:ascii="Arial" w:hAnsi="Arial" w:cs="Arial"/>
          <w:sz w:val="24"/>
        </w:rPr>
        <w:t>When you log into the EHC Hub, you will see the icon for the case for the child or young person:</w:t>
      </w:r>
    </w:p>
    <w:p w14:paraId="5154FC60" w14:textId="6E70FCB9" w:rsidR="0095405C" w:rsidRPr="006F6BB9" w:rsidRDefault="0095405C" w:rsidP="0095405C">
      <w:pPr>
        <w:jc w:val="center"/>
        <w:rPr>
          <w:rFonts w:ascii="Arial" w:hAnsi="Arial" w:cs="Arial"/>
          <w:sz w:val="24"/>
        </w:rPr>
      </w:pPr>
      <w:r w:rsidRPr="006F6BB9">
        <w:rPr>
          <w:rFonts w:ascii="Arial" w:hAnsi="Arial" w:cs="Arial"/>
          <w:noProof/>
          <w:sz w:val="24"/>
        </w:rPr>
        <w:drawing>
          <wp:inline distT="0" distB="0" distL="0" distR="0" wp14:anchorId="488A2F54" wp14:editId="79FCEBE7">
            <wp:extent cx="5191125" cy="1571529"/>
            <wp:effectExtent l="19050" t="19050" r="9525" b="10160"/>
            <wp:docPr id="193" name="Picture 193"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descr="Screen shot"/>
                    <pic:cNvPicPr/>
                  </pic:nvPicPr>
                  <pic:blipFill>
                    <a:blip r:embed="rId7"/>
                    <a:stretch>
                      <a:fillRect/>
                    </a:stretch>
                  </pic:blipFill>
                  <pic:spPr>
                    <a:xfrm>
                      <a:off x="0" y="0"/>
                      <a:ext cx="5237148" cy="1585462"/>
                    </a:xfrm>
                    <a:prstGeom prst="rect">
                      <a:avLst/>
                    </a:prstGeom>
                    <a:ln>
                      <a:solidFill>
                        <a:sysClr val="windowText" lastClr="000000"/>
                      </a:solidFill>
                    </a:ln>
                  </pic:spPr>
                </pic:pic>
              </a:graphicData>
            </a:graphic>
          </wp:inline>
        </w:drawing>
      </w:r>
    </w:p>
    <w:p w14:paraId="4462D1B5" w14:textId="77777777" w:rsidR="0095405C" w:rsidRPr="006F6BB9" w:rsidRDefault="0095405C" w:rsidP="0095405C">
      <w:pPr>
        <w:rPr>
          <w:rFonts w:ascii="Arial" w:hAnsi="Arial" w:cs="Arial"/>
          <w:sz w:val="24"/>
        </w:rPr>
      </w:pPr>
      <w:r w:rsidRPr="006F6BB9">
        <w:rPr>
          <w:rFonts w:ascii="Arial" w:hAnsi="Arial" w:cs="Arial"/>
          <w:sz w:val="24"/>
        </w:rPr>
        <w:t>Left click anywhere on this icon to open and display the information in it. The following page will appear:</w:t>
      </w:r>
    </w:p>
    <w:p w14:paraId="1E13D6A3" w14:textId="25C932F5" w:rsidR="0095405C" w:rsidRPr="006F6BB9" w:rsidRDefault="0095405C" w:rsidP="0095405C">
      <w:pPr>
        <w:jc w:val="center"/>
        <w:rPr>
          <w:rFonts w:ascii="Arial" w:hAnsi="Arial" w:cs="Arial"/>
          <w:sz w:val="24"/>
          <w14:textOutline w14:w="9525" w14:cap="rnd" w14:cmpd="sng" w14:algn="ctr">
            <w14:solidFill>
              <w14:schemeClr w14:val="tx1"/>
            </w14:solidFill>
            <w14:prstDash w14:val="solid"/>
            <w14:bevel/>
          </w14:textOutline>
        </w:rPr>
      </w:pPr>
      <w:r w:rsidRPr="006F6BB9">
        <w:rPr>
          <w:rFonts w:ascii="Arial" w:hAnsi="Arial" w:cs="Arial"/>
          <w:noProof/>
          <w:sz w:val="24"/>
        </w:rPr>
        <mc:AlternateContent>
          <mc:Choice Requires="wps">
            <w:drawing>
              <wp:anchor distT="0" distB="0" distL="114300" distR="114300" simplePos="0" relativeHeight="251637248" behindDoc="0" locked="0" layoutInCell="1" allowOverlap="1" wp14:anchorId="44EEF2D6" wp14:editId="706B25B3">
                <wp:simplePos x="0" y="0"/>
                <wp:positionH relativeFrom="column">
                  <wp:posOffset>1571625</wp:posOffset>
                </wp:positionH>
                <wp:positionV relativeFrom="paragraph">
                  <wp:posOffset>1824672</wp:posOffset>
                </wp:positionV>
                <wp:extent cx="347345" cy="47308"/>
                <wp:effectExtent l="0" t="0" r="0" b="0"/>
                <wp:wrapNone/>
                <wp:docPr id="249" name="Rectangle 2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7345" cy="47308"/>
                        </a:xfrm>
                        <a:prstGeom prst="rect">
                          <a:avLst/>
                        </a:prstGeom>
                        <a:solidFill>
                          <a:srgbClr val="E7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3DCE9" id="Rectangle 249" o:spid="_x0000_s1026" alt="&quot;&quot;" style="position:absolute;margin-left:123.75pt;margin-top:143.65pt;width:27.35pt;height:3.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" fillcolor="#e7e6e6" stroked="f" strokeweight="1pt"/>
            </w:pict>
          </mc:Fallback>
        </mc:AlternateContent>
      </w:r>
      <w:r w:rsidRPr="006F6BB9">
        <w:rPr>
          <w:rFonts w:ascii="Arial" w:hAnsi="Arial" w:cs="Arial"/>
          <w:noProof/>
          <w:sz w:val="24"/>
        </w:rPr>
        <w:drawing>
          <wp:inline distT="0" distB="0" distL="0" distR="0" wp14:anchorId="52E96E06" wp14:editId="37DE935B">
            <wp:extent cx="5286375" cy="2819011"/>
            <wp:effectExtent l="19050" t="19050" r="9525" b="19685"/>
            <wp:docPr id="194" name="Picture 19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94" descr="Screen shot"/>
                    <pic:cNvPicPr/>
                  </pic:nvPicPr>
                  <pic:blipFill>
                    <a:blip r:embed="rId8"/>
                    <a:stretch>
                      <a:fillRect/>
                    </a:stretch>
                  </pic:blipFill>
                  <pic:spPr>
                    <a:xfrm>
                      <a:off x="0" y="0"/>
                      <a:ext cx="5312441" cy="2832911"/>
                    </a:xfrm>
                    <a:prstGeom prst="rect">
                      <a:avLst/>
                    </a:prstGeom>
                    <a:ln>
                      <a:solidFill>
                        <a:sysClr val="windowText" lastClr="000000"/>
                      </a:solidFill>
                    </a:ln>
                  </pic:spPr>
                </pic:pic>
              </a:graphicData>
            </a:graphic>
          </wp:inline>
        </w:drawing>
      </w:r>
    </w:p>
    <w:p w14:paraId="7A1DE26F" w14:textId="77777777" w:rsidR="0095405C" w:rsidRPr="006F6BB9" w:rsidRDefault="0095405C" w:rsidP="0095405C">
      <w:pPr>
        <w:pStyle w:val="Bodytextheadlines"/>
        <w:rPr>
          <w:rFonts w:ascii="Arial" w:hAnsi="Arial" w:cs="Arial"/>
          <w:color w:val="auto"/>
          <w:sz w:val="24"/>
        </w:rPr>
      </w:pPr>
      <w:bookmarkStart w:id="2" w:name="_Toc65066494"/>
      <w:bookmarkStart w:id="3" w:name="_Toc83199016"/>
      <w:r w:rsidRPr="006F6BB9">
        <w:rPr>
          <w:rFonts w:ascii="Arial" w:hAnsi="Arial" w:cs="Arial"/>
          <w:color w:val="auto"/>
          <w:sz w:val="24"/>
        </w:rPr>
        <w:t>Status of the Process</w:t>
      </w:r>
      <w:bookmarkEnd w:id="2"/>
      <w:bookmarkEnd w:id="3"/>
    </w:p>
    <w:p w14:paraId="6784B781" w14:textId="77777777" w:rsidR="0095405C" w:rsidRPr="006F6BB9" w:rsidRDefault="0095405C" w:rsidP="0095405C">
      <w:pPr>
        <w:rPr>
          <w:rFonts w:ascii="Arial" w:hAnsi="Arial" w:cs="Arial"/>
          <w:sz w:val="24"/>
        </w:rPr>
      </w:pPr>
      <w:r w:rsidRPr="006F6BB9">
        <w:rPr>
          <w:rFonts w:ascii="Arial" w:hAnsi="Arial" w:cs="Arial"/>
          <w:sz w:val="24"/>
        </w:rPr>
        <w:t xml:space="preserve">The top of the screen will show what stage of the process the EHC plan is currently at. </w:t>
      </w:r>
    </w:p>
    <w:p w14:paraId="6980C161" w14:textId="77777777" w:rsidR="0095405C" w:rsidRPr="006F6BB9" w:rsidRDefault="0095405C" w:rsidP="0095405C">
      <w:pPr>
        <w:rPr>
          <w:rFonts w:ascii="Arial" w:hAnsi="Arial" w:cs="Arial"/>
          <w:sz w:val="24"/>
        </w:rPr>
      </w:pPr>
      <w:r w:rsidRPr="006F6BB9">
        <w:rPr>
          <w:rFonts w:ascii="Arial" w:hAnsi="Arial" w:cs="Arial"/>
          <w:b/>
          <w:bCs/>
          <w:sz w:val="24"/>
        </w:rPr>
        <w:t xml:space="preserve">Request </w:t>
      </w:r>
      <w:r w:rsidRPr="006F6BB9">
        <w:rPr>
          <w:rFonts w:ascii="Arial" w:hAnsi="Arial" w:cs="Arial"/>
          <w:sz w:val="24"/>
        </w:rPr>
        <w:t>– this means a request for a EHC needs assessment has been made and information is being gathered to decide if a needs assessment should take place:</w:t>
      </w:r>
    </w:p>
    <w:p w14:paraId="0B878733" w14:textId="77777777" w:rsidR="0095405C" w:rsidRPr="006F6BB9" w:rsidRDefault="0095405C" w:rsidP="0095405C">
      <w:pPr>
        <w:jc w:val="center"/>
        <w:rPr>
          <w:rFonts w:ascii="Arial" w:hAnsi="Arial" w:cs="Arial"/>
          <w:sz w:val="24"/>
        </w:rPr>
      </w:pPr>
      <w:r w:rsidRPr="006F6BB9">
        <w:rPr>
          <w:rFonts w:ascii="Arial" w:hAnsi="Arial" w:cs="Arial"/>
          <w:noProof/>
          <w:sz w:val="24"/>
        </w:rPr>
        <w:drawing>
          <wp:inline distT="0" distB="0" distL="0" distR="0" wp14:anchorId="7ED543C6" wp14:editId="2DFBAD5C">
            <wp:extent cx="4838700" cy="1209675"/>
            <wp:effectExtent l="19050" t="19050" r="19050" b="28575"/>
            <wp:docPr id="246" name="Picture 246"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Screen shot"/>
                    <pic:cNvPicPr/>
                  </pic:nvPicPr>
                  <pic:blipFill rotWithShape="1">
                    <a:blip r:embed="rId9"/>
                    <a:srcRect l="1373" t="11359" r="1880" b="11305"/>
                    <a:stretch/>
                  </pic:blipFill>
                  <pic:spPr bwMode="auto">
                    <a:xfrm>
                      <a:off x="0" y="0"/>
                      <a:ext cx="5101148" cy="127528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95A64A6" w14:textId="77777777" w:rsidR="0095405C" w:rsidRPr="006F6BB9" w:rsidRDefault="0095405C" w:rsidP="0095405C">
      <w:pPr>
        <w:pStyle w:val="Bodytextheadlines"/>
        <w:rPr>
          <w:rFonts w:ascii="Arial" w:hAnsi="Arial" w:cs="Arial"/>
          <w:color w:val="auto"/>
          <w:sz w:val="24"/>
        </w:rPr>
      </w:pPr>
      <w:bookmarkStart w:id="4" w:name="_Toc65066495"/>
      <w:bookmarkStart w:id="5" w:name="_Toc83199017"/>
      <w:r w:rsidRPr="006F6BB9">
        <w:rPr>
          <w:rFonts w:ascii="Arial" w:hAnsi="Arial" w:cs="Arial"/>
          <w:color w:val="auto"/>
          <w:sz w:val="24"/>
        </w:rPr>
        <w:lastRenderedPageBreak/>
        <w:t xml:space="preserve">Details of the </w:t>
      </w:r>
      <w:bookmarkEnd w:id="4"/>
      <w:r w:rsidRPr="006F6BB9">
        <w:rPr>
          <w:rFonts w:ascii="Arial" w:hAnsi="Arial" w:cs="Arial"/>
          <w:color w:val="auto"/>
          <w:sz w:val="24"/>
        </w:rPr>
        <w:t>Case</w:t>
      </w:r>
      <w:bookmarkEnd w:id="5"/>
    </w:p>
    <w:p w14:paraId="4BD42C31" w14:textId="77777777" w:rsidR="0095405C" w:rsidRPr="006F6BB9" w:rsidRDefault="0095405C" w:rsidP="0095405C">
      <w:pPr>
        <w:rPr>
          <w:rFonts w:ascii="Arial" w:hAnsi="Arial" w:cs="Arial"/>
          <w:sz w:val="24"/>
        </w:rPr>
      </w:pPr>
      <w:r w:rsidRPr="006F6BB9">
        <w:rPr>
          <w:rFonts w:ascii="Arial" w:hAnsi="Arial" w:cs="Arial"/>
          <w:sz w:val="24"/>
        </w:rPr>
        <w:t xml:space="preserve">The left-hand side of the screen can be used to access different parts of the case record. </w:t>
      </w:r>
    </w:p>
    <w:p w14:paraId="25B01F41" w14:textId="77777777" w:rsidR="0095405C" w:rsidRPr="006F6BB9" w:rsidRDefault="0095405C" w:rsidP="0095405C">
      <w:pPr>
        <w:rPr>
          <w:rFonts w:ascii="Arial" w:hAnsi="Arial" w:cs="Arial"/>
          <w:sz w:val="24"/>
        </w:rPr>
      </w:pPr>
      <w:r w:rsidRPr="006F6BB9">
        <w:rPr>
          <w:rFonts w:ascii="Arial" w:hAnsi="Arial" w:cs="Arial"/>
          <w:sz w:val="24"/>
        </w:rPr>
        <w:t xml:space="preserve">These different sections are Young Person and Family, Case Co-ordinator, Education Setting, Notes &amp; Timeline and Key Dates. </w:t>
      </w:r>
    </w:p>
    <w:p w14:paraId="70ABD714" w14:textId="77777777" w:rsidR="0095405C" w:rsidRPr="006F6BB9" w:rsidRDefault="0095405C" w:rsidP="0095405C">
      <w:pPr>
        <w:rPr>
          <w:rFonts w:ascii="Arial" w:hAnsi="Arial" w:cs="Arial"/>
          <w:sz w:val="24"/>
        </w:rPr>
      </w:pPr>
      <w:r w:rsidRPr="006F6BB9">
        <w:rPr>
          <w:rFonts w:ascii="Arial" w:hAnsi="Arial" w:cs="Arial"/>
          <w:sz w:val="24"/>
        </w:rPr>
        <w:t>You can expand each section to view information on it by clicking on the green header of the section or on the arrow at the end of each section header:</w:t>
      </w:r>
    </w:p>
    <w:p w14:paraId="0B670BA3" w14:textId="53BC96D7" w:rsidR="0095405C" w:rsidRPr="006F6BB9" w:rsidRDefault="0095405C" w:rsidP="0095405C">
      <w:pPr>
        <w:jc w:val="center"/>
        <w:rPr>
          <w:rFonts w:ascii="Arial" w:hAnsi="Arial" w:cs="Arial"/>
          <w:sz w:val="24"/>
        </w:rPr>
      </w:pPr>
      <w:r w:rsidRPr="006F6BB9">
        <w:rPr>
          <w:rFonts w:ascii="Arial" w:hAnsi="Arial" w:cs="Arial"/>
          <w:noProof/>
          <w:sz w:val="24"/>
        </w:rPr>
        <w:drawing>
          <wp:inline distT="0" distB="0" distL="0" distR="0" wp14:anchorId="37F6E3E7" wp14:editId="18858DDA">
            <wp:extent cx="2828925" cy="2686050"/>
            <wp:effectExtent l="19050" t="19050" r="28575" b="19050"/>
            <wp:docPr id="234" name="Picture 234"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Screen shot"/>
                    <pic:cNvPicPr/>
                  </pic:nvPicPr>
                  <pic:blipFill rotWithShape="1">
                    <a:blip r:embed="rId10"/>
                    <a:srcRect r="1905" b="2132"/>
                    <a:stretch/>
                  </pic:blipFill>
                  <pic:spPr bwMode="auto">
                    <a:xfrm>
                      <a:off x="0" y="0"/>
                      <a:ext cx="2855473" cy="271125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B3618F3" w14:textId="77777777" w:rsidR="0095405C" w:rsidRPr="006F6BB9" w:rsidRDefault="0095405C" w:rsidP="0095405C">
      <w:pPr>
        <w:rPr>
          <w:rFonts w:ascii="Arial" w:hAnsi="Arial" w:cs="Arial"/>
          <w:sz w:val="24"/>
        </w:rPr>
      </w:pPr>
      <w:r w:rsidRPr="006F6BB9">
        <w:rPr>
          <w:rFonts w:ascii="Arial" w:hAnsi="Arial" w:cs="Arial"/>
          <w:sz w:val="24"/>
        </w:rPr>
        <w:t>When you click on the header or the arrow, the display will change like this. Note the direction of the arrow has changed from down to up:</w:t>
      </w:r>
    </w:p>
    <w:p w14:paraId="3567E69D" w14:textId="39A74B29" w:rsidR="0095405C" w:rsidRPr="006F6BB9" w:rsidRDefault="0095405C" w:rsidP="0095405C">
      <w:pPr>
        <w:jc w:val="center"/>
        <w:rPr>
          <w:rFonts w:ascii="Arial" w:hAnsi="Arial" w:cs="Arial"/>
          <w:sz w:val="24"/>
          <w14:textOutline w14:w="9525" w14:cap="rnd" w14:cmpd="sng" w14:algn="ctr">
            <w14:solidFill>
              <w14:schemeClr w14:val="tx1"/>
            </w14:solidFill>
            <w14:prstDash w14:val="solid"/>
            <w14:bevel/>
          </w14:textOutline>
        </w:rPr>
      </w:pPr>
      <w:r w:rsidRPr="006F6BB9">
        <w:rPr>
          <w:rFonts w:ascii="Arial" w:hAnsi="Arial" w:cs="Arial"/>
          <w:noProof/>
          <w:sz w:val="24"/>
        </w:rPr>
        <w:drawing>
          <wp:inline distT="0" distB="0" distL="0" distR="0" wp14:anchorId="7D243703" wp14:editId="6AECB4B4">
            <wp:extent cx="2486025" cy="2266950"/>
            <wp:effectExtent l="19050" t="19050" r="28575" b="19050"/>
            <wp:docPr id="235" name="Picture 235"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Screen shot"/>
                    <pic:cNvPicPr/>
                  </pic:nvPicPr>
                  <pic:blipFill rotWithShape="1">
                    <a:blip r:embed="rId11"/>
                    <a:srcRect l="-1" r="4214" b="34383"/>
                    <a:stretch/>
                  </pic:blipFill>
                  <pic:spPr bwMode="auto">
                    <a:xfrm>
                      <a:off x="0" y="0"/>
                      <a:ext cx="2531693" cy="2308594"/>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6E06E1AF" w14:textId="77777777" w:rsidR="0095405C" w:rsidRPr="006F6BB9" w:rsidRDefault="0095405C" w:rsidP="0095405C">
      <w:pPr>
        <w:rPr>
          <w:rFonts w:ascii="Arial" w:hAnsi="Arial" w:cs="Arial"/>
          <w:sz w:val="24"/>
        </w:rPr>
      </w:pPr>
      <w:r w:rsidRPr="006F6BB9">
        <w:rPr>
          <w:rFonts w:ascii="Arial" w:hAnsi="Arial" w:cs="Arial"/>
          <w:b/>
          <w:bCs/>
          <w:sz w:val="24"/>
        </w:rPr>
        <w:t>Young Person and Family</w:t>
      </w:r>
      <w:r w:rsidRPr="006F6BB9">
        <w:rPr>
          <w:rFonts w:ascii="Arial" w:hAnsi="Arial" w:cs="Arial"/>
          <w:sz w:val="24"/>
        </w:rPr>
        <w:t xml:space="preserve"> – This will show the details of the person who made the request</w:t>
      </w:r>
    </w:p>
    <w:p w14:paraId="190CEFD0" w14:textId="77777777" w:rsidR="0095405C" w:rsidRPr="006F6BB9" w:rsidRDefault="0095405C" w:rsidP="0095405C">
      <w:pPr>
        <w:rPr>
          <w:rFonts w:ascii="Arial" w:hAnsi="Arial" w:cs="Arial"/>
          <w:sz w:val="24"/>
        </w:rPr>
      </w:pPr>
      <w:r w:rsidRPr="006F6BB9">
        <w:rPr>
          <w:rFonts w:ascii="Arial" w:hAnsi="Arial" w:cs="Arial"/>
          <w:b/>
          <w:bCs/>
          <w:sz w:val="24"/>
        </w:rPr>
        <w:t>Case co-ordinator</w:t>
      </w:r>
      <w:r w:rsidRPr="006F6BB9">
        <w:rPr>
          <w:rFonts w:ascii="Arial" w:hAnsi="Arial" w:cs="Arial"/>
          <w:sz w:val="24"/>
        </w:rPr>
        <w:t xml:space="preserve"> – This will show the case co-ordinator responsible for overseeing the process</w:t>
      </w:r>
    </w:p>
    <w:p w14:paraId="2058AE25" w14:textId="77777777" w:rsidR="0095405C" w:rsidRPr="006F6BB9" w:rsidRDefault="0095405C" w:rsidP="0095405C">
      <w:pPr>
        <w:rPr>
          <w:rFonts w:ascii="Arial" w:hAnsi="Arial" w:cs="Arial"/>
          <w:sz w:val="24"/>
        </w:rPr>
      </w:pPr>
      <w:r w:rsidRPr="006F6BB9">
        <w:rPr>
          <w:rFonts w:ascii="Arial" w:hAnsi="Arial" w:cs="Arial"/>
          <w:b/>
          <w:bCs/>
          <w:sz w:val="24"/>
        </w:rPr>
        <w:t>Education Setting</w:t>
      </w:r>
      <w:r w:rsidRPr="006F6BB9">
        <w:rPr>
          <w:rFonts w:ascii="Arial" w:hAnsi="Arial" w:cs="Arial"/>
          <w:sz w:val="24"/>
        </w:rPr>
        <w:t xml:space="preserve"> – This will show the details of the current education setting of the child or young person</w:t>
      </w:r>
    </w:p>
    <w:p w14:paraId="051D8209" w14:textId="77777777" w:rsidR="0095405C" w:rsidRPr="006F6BB9" w:rsidRDefault="0095405C" w:rsidP="0095405C">
      <w:pPr>
        <w:rPr>
          <w:rFonts w:ascii="Arial" w:hAnsi="Arial" w:cs="Arial"/>
          <w:sz w:val="24"/>
        </w:rPr>
      </w:pPr>
      <w:r w:rsidRPr="006F6BB9">
        <w:rPr>
          <w:rFonts w:ascii="Arial" w:hAnsi="Arial" w:cs="Arial"/>
          <w:b/>
          <w:bCs/>
          <w:sz w:val="24"/>
        </w:rPr>
        <w:lastRenderedPageBreak/>
        <w:t>Notes and Timeline</w:t>
      </w:r>
      <w:r w:rsidRPr="006F6BB9">
        <w:rPr>
          <w:rFonts w:ascii="Arial" w:hAnsi="Arial" w:cs="Arial"/>
          <w:sz w:val="24"/>
        </w:rPr>
        <w:t xml:space="preserve"> – This page will display all activity on the case in date order, with the most recent at the top. Click on View details to see this information:</w:t>
      </w:r>
    </w:p>
    <w:p w14:paraId="58123669" w14:textId="7FC0F85A" w:rsidR="0095405C" w:rsidRPr="006F6BB9" w:rsidRDefault="0095405C" w:rsidP="0095405C">
      <w:pPr>
        <w:jc w:val="center"/>
        <w:rPr>
          <w:rFonts w:ascii="Arial" w:hAnsi="Arial" w:cs="Arial"/>
          <w:sz w:val="24"/>
        </w:rPr>
      </w:pPr>
      <w:r w:rsidRPr="006F6BB9">
        <w:rPr>
          <w:rFonts w:ascii="Arial" w:hAnsi="Arial" w:cs="Arial"/>
          <w:noProof/>
          <w:sz w:val="24"/>
        </w:rPr>
        <w:drawing>
          <wp:inline distT="0" distB="0" distL="0" distR="0" wp14:anchorId="3E096207" wp14:editId="78A173B4">
            <wp:extent cx="2090420" cy="1276350"/>
            <wp:effectExtent l="19050" t="19050" r="24130" b="19050"/>
            <wp:docPr id="236" name="Picture 236"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creen shot"/>
                    <pic:cNvPicPr/>
                  </pic:nvPicPr>
                  <pic:blipFill>
                    <a:blip r:embed="rId12"/>
                    <a:stretch>
                      <a:fillRect/>
                    </a:stretch>
                  </pic:blipFill>
                  <pic:spPr>
                    <a:xfrm>
                      <a:off x="0" y="0"/>
                      <a:ext cx="2104076" cy="1284688"/>
                    </a:xfrm>
                    <a:prstGeom prst="rect">
                      <a:avLst/>
                    </a:prstGeom>
                    <a:ln>
                      <a:solidFill>
                        <a:schemeClr val="tx1"/>
                      </a:solidFill>
                    </a:ln>
                  </pic:spPr>
                </pic:pic>
              </a:graphicData>
            </a:graphic>
          </wp:inline>
        </w:drawing>
      </w:r>
    </w:p>
    <w:p w14:paraId="4DBE3B40" w14:textId="77777777" w:rsidR="0095405C" w:rsidRPr="006F6BB9" w:rsidRDefault="0095405C" w:rsidP="0095405C">
      <w:pPr>
        <w:rPr>
          <w:rFonts w:ascii="Arial" w:hAnsi="Arial" w:cs="Arial"/>
          <w:sz w:val="24"/>
        </w:rPr>
      </w:pPr>
      <w:r w:rsidRPr="006F6BB9">
        <w:rPr>
          <w:rFonts w:ascii="Arial" w:hAnsi="Arial" w:cs="Arial"/>
          <w:b/>
          <w:bCs/>
          <w:sz w:val="24"/>
        </w:rPr>
        <w:t xml:space="preserve">Key Dates </w:t>
      </w:r>
      <w:r w:rsidRPr="006F6BB9">
        <w:rPr>
          <w:rFonts w:ascii="Arial" w:hAnsi="Arial" w:cs="Arial"/>
          <w:sz w:val="24"/>
        </w:rPr>
        <w:t xml:space="preserve">– this will display the key dates in the process, based on the statutory date requirements. For example, it could show the start date of the case, when the decision to assess needs to be made and when the case needs to be completed: </w:t>
      </w:r>
    </w:p>
    <w:p w14:paraId="15F3EFAD" w14:textId="77777777" w:rsidR="0095405C" w:rsidRDefault="0095405C" w:rsidP="0095405C">
      <w:pPr>
        <w:jc w:val="center"/>
      </w:pPr>
      <w:r>
        <w:rPr>
          <w:noProof/>
        </w:rPr>
        <w:drawing>
          <wp:inline distT="0" distB="0" distL="0" distR="0" wp14:anchorId="3D2FA1DD" wp14:editId="36FF257B">
            <wp:extent cx="2781300" cy="1532988"/>
            <wp:effectExtent l="19050" t="19050" r="19050" b="10160"/>
            <wp:docPr id="237" name="Picture 237" descr="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Screen shot"/>
                    <pic:cNvPicPr/>
                  </pic:nvPicPr>
                  <pic:blipFill>
                    <a:blip r:embed="rId13"/>
                    <a:stretch>
                      <a:fillRect/>
                    </a:stretch>
                  </pic:blipFill>
                  <pic:spPr>
                    <a:xfrm>
                      <a:off x="0" y="0"/>
                      <a:ext cx="2819314" cy="1553940"/>
                    </a:xfrm>
                    <a:prstGeom prst="rect">
                      <a:avLst/>
                    </a:prstGeom>
                    <a:ln>
                      <a:solidFill>
                        <a:schemeClr val="tx1"/>
                      </a:solidFill>
                    </a:ln>
                  </pic:spPr>
                </pic:pic>
              </a:graphicData>
            </a:graphic>
          </wp:inline>
        </w:drawing>
      </w:r>
    </w:p>
    <w:bookmarkEnd w:id="1"/>
    <w:sectPr w:rsidR="0095405C" w:rsidSect="0074021B">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A00002E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1"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3"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4"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2126726981">
    <w:abstractNumId w:val="18"/>
  </w:num>
  <w:num w:numId="2" w16cid:durableId="985428727">
    <w:abstractNumId w:val="6"/>
  </w:num>
  <w:num w:numId="3" w16cid:durableId="1652564513">
    <w:abstractNumId w:val="16"/>
  </w:num>
  <w:num w:numId="4" w16cid:durableId="1306659270">
    <w:abstractNumId w:val="1"/>
  </w:num>
  <w:num w:numId="5" w16cid:durableId="1878736305">
    <w:abstractNumId w:val="12"/>
  </w:num>
  <w:num w:numId="6" w16cid:durableId="1938754838">
    <w:abstractNumId w:val="9"/>
  </w:num>
  <w:num w:numId="7" w16cid:durableId="1538161724">
    <w:abstractNumId w:val="17"/>
  </w:num>
  <w:num w:numId="8" w16cid:durableId="1214200119">
    <w:abstractNumId w:val="19"/>
  </w:num>
  <w:num w:numId="9" w16cid:durableId="590549327">
    <w:abstractNumId w:val="14"/>
  </w:num>
  <w:num w:numId="10" w16cid:durableId="1432895055">
    <w:abstractNumId w:val="4"/>
  </w:num>
  <w:num w:numId="11" w16cid:durableId="329795948">
    <w:abstractNumId w:val="20"/>
  </w:num>
  <w:num w:numId="12" w16cid:durableId="1730767742">
    <w:abstractNumId w:val="10"/>
  </w:num>
  <w:num w:numId="13" w16cid:durableId="1551267563">
    <w:abstractNumId w:val="21"/>
  </w:num>
  <w:num w:numId="14" w16cid:durableId="2043701234">
    <w:abstractNumId w:val="11"/>
  </w:num>
  <w:num w:numId="15" w16cid:durableId="958337189">
    <w:abstractNumId w:val="7"/>
  </w:num>
  <w:num w:numId="16" w16cid:durableId="771435181">
    <w:abstractNumId w:val="2"/>
  </w:num>
  <w:num w:numId="17" w16cid:durableId="2142337427">
    <w:abstractNumId w:val="5"/>
  </w:num>
  <w:num w:numId="18" w16cid:durableId="1102341448">
    <w:abstractNumId w:val="3"/>
  </w:num>
  <w:num w:numId="19" w16cid:durableId="29847521">
    <w:abstractNumId w:val="5"/>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790902067">
    <w:abstractNumId w:val="5"/>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22639711">
    <w:abstractNumId w:val="13"/>
  </w:num>
  <w:num w:numId="22" w16cid:durableId="225148134">
    <w:abstractNumId w:val="17"/>
    <w:lvlOverride w:ilvl="0">
      <w:startOverride w:val="1"/>
    </w:lvlOverride>
  </w:num>
  <w:num w:numId="23" w16cid:durableId="1752696106">
    <w:abstractNumId w:val="0"/>
  </w:num>
  <w:num w:numId="24" w16cid:durableId="1011764889">
    <w:abstractNumId w:val="15"/>
  </w:num>
  <w:num w:numId="25" w16cid:durableId="1331450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1C2F6F"/>
    <w:rsid w:val="00251078"/>
    <w:rsid w:val="002C4707"/>
    <w:rsid w:val="003C74D5"/>
    <w:rsid w:val="00432214"/>
    <w:rsid w:val="00461CEC"/>
    <w:rsid w:val="00474E2D"/>
    <w:rsid w:val="00480EFA"/>
    <w:rsid w:val="0049554A"/>
    <w:rsid w:val="004D7493"/>
    <w:rsid w:val="00517DFE"/>
    <w:rsid w:val="005330C7"/>
    <w:rsid w:val="0055295C"/>
    <w:rsid w:val="00557516"/>
    <w:rsid w:val="00560931"/>
    <w:rsid w:val="005E7B14"/>
    <w:rsid w:val="006E7F3D"/>
    <w:rsid w:val="006F6BB9"/>
    <w:rsid w:val="0074021B"/>
    <w:rsid w:val="007950DA"/>
    <w:rsid w:val="0083032E"/>
    <w:rsid w:val="00844D15"/>
    <w:rsid w:val="008A136E"/>
    <w:rsid w:val="008B61A9"/>
    <w:rsid w:val="0095405C"/>
    <w:rsid w:val="009B7293"/>
    <w:rsid w:val="00A94AC9"/>
    <w:rsid w:val="00B666AB"/>
    <w:rsid w:val="00D404F5"/>
    <w:rsid w:val="00EA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pARENTS</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dc:title>
  <dc:subject/>
  <dc:creator>Morgan Toner (NELC)</dc:creator>
  <cp:keywords/>
  <dc:description/>
  <cp:lastModifiedBy>Morgan Toner (NELC)</cp:lastModifiedBy>
  <cp:revision>11</cp:revision>
  <dcterms:created xsi:type="dcterms:W3CDTF">2022-02-02T11:26:00Z</dcterms:created>
  <dcterms:modified xsi:type="dcterms:W3CDTF">2022-04-13T10:43:00Z</dcterms:modified>
</cp:coreProperties>
</file>